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7D9" w:rsidRPr="001F6E73" w:rsidRDefault="005C57D9" w:rsidP="005C57D9">
      <w:pPr>
        <w:pStyle w:val="TableParagraph"/>
        <w:spacing w:before="144"/>
        <w:ind w:left="720" w:right="3337"/>
        <w:rPr>
          <w:sz w:val="60"/>
          <w:szCs w:val="60"/>
        </w:rPr>
      </w:pPr>
      <w:bookmarkStart w:id="0" w:name="_GoBack"/>
      <w:bookmarkEnd w:id="0"/>
      <w:r w:rsidRPr="001F6E73">
        <w:rPr>
          <w:b/>
          <w:sz w:val="60"/>
          <w:szCs w:val="60"/>
        </w:rPr>
        <w:t xml:space="preserve">ANA </w:t>
      </w:r>
      <w:r w:rsidR="001F6E73" w:rsidRPr="001F6E73">
        <w:rPr>
          <w:b/>
          <w:sz w:val="60"/>
          <w:szCs w:val="60"/>
        </w:rPr>
        <w:t xml:space="preserve">Vietnam </w:t>
      </w:r>
      <w:r w:rsidR="00346541">
        <w:rPr>
          <w:b/>
          <w:sz w:val="60"/>
          <w:szCs w:val="60"/>
        </w:rPr>
        <w:t xml:space="preserve">JV </w:t>
      </w:r>
      <w:r w:rsidRPr="001F6E73">
        <w:rPr>
          <w:b/>
          <w:sz w:val="60"/>
          <w:szCs w:val="60"/>
        </w:rPr>
        <w:t>Services Fund Program Guidelines</w:t>
      </w:r>
    </w:p>
    <w:p w:rsidR="005C57D9" w:rsidRDefault="005C57D9" w:rsidP="005C57D9">
      <w:pPr>
        <w:pStyle w:val="TableParagraph"/>
        <w:spacing w:before="144"/>
        <w:ind w:left="720" w:right="3337"/>
        <w:rPr>
          <w:sz w:val="28"/>
          <w:szCs w:val="28"/>
        </w:rPr>
      </w:pPr>
    </w:p>
    <w:tbl>
      <w:tblPr>
        <w:tblStyle w:val="TableGrid"/>
        <w:tblW w:w="0" w:type="auto"/>
        <w:tblInd w:w="720" w:type="dxa"/>
        <w:shd w:val="clear" w:color="auto" w:fill="00B0F0"/>
        <w:tblLook w:val="04A0" w:firstRow="1" w:lastRow="0" w:firstColumn="1" w:lastColumn="0" w:noHBand="0" w:noVBand="1"/>
      </w:tblPr>
      <w:tblGrid>
        <w:gridCol w:w="21356"/>
      </w:tblGrid>
      <w:tr w:rsidR="005C57D9" w:rsidTr="00713CB1">
        <w:tc>
          <w:tcPr>
            <w:tcW w:w="22076" w:type="dxa"/>
            <w:shd w:val="clear" w:color="auto" w:fill="00B0F0"/>
          </w:tcPr>
          <w:p w:rsidR="00346541" w:rsidRPr="00346541" w:rsidRDefault="00346541" w:rsidP="005C57D9">
            <w:pPr>
              <w:pStyle w:val="TableParagraph"/>
              <w:spacing w:before="144"/>
              <w:ind w:right="3337"/>
              <w:rPr>
                <w:sz w:val="14"/>
                <w:szCs w:val="28"/>
              </w:rPr>
            </w:pPr>
          </w:p>
          <w:p w:rsidR="005C57D9" w:rsidRDefault="005C57D9" w:rsidP="005C57D9">
            <w:pPr>
              <w:pStyle w:val="TableParagraph"/>
              <w:spacing w:before="144"/>
              <w:ind w:right="3337"/>
              <w:rPr>
                <w:sz w:val="28"/>
                <w:szCs w:val="28"/>
              </w:rPr>
            </w:pPr>
            <w:r w:rsidRPr="005C57D9">
              <w:rPr>
                <w:sz w:val="28"/>
                <w:szCs w:val="28"/>
              </w:rPr>
              <w:t>Redemptions must follow seat availability, d</w:t>
            </w:r>
            <w:r w:rsidR="001F6E73">
              <w:rPr>
                <w:sz w:val="28"/>
                <w:szCs w:val="28"/>
              </w:rPr>
              <w:t xml:space="preserve">ays before departure, and other </w:t>
            </w:r>
            <w:r w:rsidRPr="005C57D9">
              <w:rPr>
                <w:sz w:val="28"/>
                <w:szCs w:val="28"/>
              </w:rPr>
              <w:t>required parameters.</w:t>
            </w:r>
          </w:p>
          <w:p w:rsidR="00346541" w:rsidRPr="005C57D9" w:rsidRDefault="00346541" w:rsidP="005C57D9">
            <w:pPr>
              <w:pStyle w:val="TableParagraph"/>
              <w:spacing w:before="144"/>
              <w:ind w:right="3337"/>
              <w:rPr>
                <w:sz w:val="28"/>
                <w:szCs w:val="28"/>
              </w:rPr>
            </w:pPr>
          </w:p>
        </w:tc>
      </w:tr>
    </w:tbl>
    <w:p w:rsidR="005C57D9" w:rsidRDefault="005C57D9" w:rsidP="005C57D9">
      <w:pPr>
        <w:pStyle w:val="TableParagraph"/>
        <w:spacing w:before="144"/>
        <w:ind w:left="720" w:right="3337"/>
        <w:rPr>
          <w:sz w:val="28"/>
          <w:szCs w:val="28"/>
        </w:rPr>
      </w:pPr>
    </w:p>
    <w:tbl>
      <w:tblPr>
        <w:tblStyle w:val="TableGrid"/>
        <w:tblW w:w="0" w:type="auto"/>
        <w:tblInd w:w="720" w:type="dxa"/>
        <w:shd w:val="clear" w:color="auto" w:fill="92D050"/>
        <w:tblLook w:val="04A0" w:firstRow="1" w:lastRow="0" w:firstColumn="1" w:lastColumn="0" w:noHBand="0" w:noVBand="1"/>
      </w:tblPr>
      <w:tblGrid>
        <w:gridCol w:w="21356"/>
      </w:tblGrid>
      <w:tr w:rsidR="005C57D9" w:rsidTr="00713CB1">
        <w:tc>
          <w:tcPr>
            <w:tcW w:w="22076" w:type="dxa"/>
            <w:shd w:val="clear" w:color="auto" w:fill="92D050"/>
          </w:tcPr>
          <w:p w:rsidR="00346541" w:rsidRPr="00346541" w:rsidRDefault="00346541" w:rsidP="005C57D9">
            <w:pPr>
              <w:pStyle w:val="TableParagraph"/>
              <w:spacing w:before="144"/>
              <w:ind w:right="3337"/>
              <w:rPr>
                <w:sz w:val="16"/>
                <w:szCs w:val="28"/>
              </w:rPr>
            </w:pPr>
          </w:p>
          <w:p w:rsidR="005C57D9" w:rsidRDefault="005C57D9" w:rsidP="005C57D9">
            <w:pPr>
              <w:pStyle w:val="TableParagraph"/>
              <w:spacing w:before="144"/>
              <w:ind w:right="3337"/>
              <w:rPr>
                <w:sz w:val="28"/>
                <w:szCs w:val="28"/>
              </w:rPr>
            </w:pPr>
            <w:r w:rsidRPr="005C57D9">
              <w:rPr>
                <w:sz w:val="28"/>
                <w:szCs w:val="28"/>
              </w:rPr>
              <w:t>All fees, services and products not included in the Services Funds offering must be paid.</w:t>
            </w:r>
          </w:p>
          <w:p w:rsidR="00346541" w:rsidRDefault="00346541" w:rsidP="005C57D9">
            <w:pPr>
              <w:pStyle w:val="TableParagraph"/>
              <w:spacing w:before="144"/>
              <w:ind w:right="3337"/>
              <w:rPr>
                <w:sz w:val="28"/>
                <w:szCs w:val="28"/>
              </w:rPr>
            </w:pPr>
          </w:p>
        </w:tc>
      </w:tr>
    </w:tbl>
    <w:p w:rsidR="005C57D9" w:rsidRDefault="005C57D9" w:rsidP="005C57D9">
      <w:pPr>
        <w:pStyle w:val="TableParagraph"/>
        <w:spacing w:before="144"/>
        <w:ind w:left="720" w:right="3337"/>
        <w:rPr>
          <w:sz w:val="28"/>
          <w:szCs w:val="28"/>
        </w:rPr>
      </w:pPr>
    </w:p>
    <w:tbl>
      <w:tblPr>
        <w:tblStyle w:val="TableGrid"/>
        <w:tblW w:w="0" w:type="auto"/>
        <w:tblInd w:w="720" w:type="dxa"/>
        <w:shd w:val="clear" w:color="auto" w:fill="0070C0"/>
        <w:tblLook w:val="04A0" w:firstRow="1" w:lastRow="0" w:firstColumn="1" w:lastColumn="0" w:noHBand="0" w:noVBand="1"/>
      </w:tblPr>
      <w:tblGrid>
        <w:gridCol w:w="21356"/>
      </w:tblGrid>
      <w:tr w:rsidR="005C57D9" w:rsidTr="00713CB1">
        <w:tc>
          <w:tcPr>
            <w:tcW w:w="21356" w:type="dxa"/>
            <w:shd w:val="clear" w:color="auto" w:fill="0070C0"/>
          </w:tcPr>
          <w:p w:rsidR="00346541" w:rsidRDefault="00346541" w:rsidP="00346541">
            <w:pPr>
              <w:pStyle w:val="TableParagraph"/>
              <w:spacing w:before="144"/>
              <w:ind w:left="360" w:right="3337"/>
              <w:rPr>
                <w:sz w:val="28"/>
                <w:szCs w:val="28"/>
              </w:rPr>
            </w:pPr>
          </w:p>
          <w:p w:rsidR="005C57D9" w:rsidRPr="00713CB1" w:rsidRDefault="005C57D9" w:rsidP="005C57D9">
            <w:pPr>
              <w:pStyle w:val="TableParagraph"/>
              <w:numPr>
                <w:ilvl w:val="0"/>
                <w:numId w:val="1"/>
              </w:numPr>
              <w:spacing w:before="144"/>
              <w:ind w:right="3337"/>
              <w:rPr>
                <w:color w:val="FFFFFF" w:themeColor="background1"/>
                <w:sz w:val="28"/>
                <w:szCs w:val="28"/>
              </w:rPr>
            </w:pPr>
            <w:r w:rsidRPr="00713CB1">
              <w:rPr>
                <w:color w:val="FFFFFF" w:themeColor="background1"/>
                <w:sz w:val="28"/>
                <w:szCs w:val="28"/>
              </w:rPr>
              <w:t>Once funds are redeemed, they are non—refundable</w:t>
            </w:r>
          </w:p>
          <w:p w:rsidR="005C57D9" w:rsidRPr="00713CB1" w:rsidRDefault="005C57D9" w:rsidP="005C57D9">
            <w:pPr>
              <w:pStyle w:val="TableParagraph"/>
              <w:numPr>
                <w:ilvl w:val="0"/>
                <w:numId w:val="1"/>
              </w:numPr>
              <w:spacing w:before="144"/>
              <w:ind w:right="3337"/>
              <w:rPr>
                <w:color w:val="FFFFFF" w:themeColor="background1"/>
                <w:sz w:val="28"/>
                <w:szCs w:val="28"/>
              </w:rPr>
            </w:pPr>
            <w:r w:rsidRPr="00713CB1">
              <w:rPr>
                <w:color w:val="FFFFFF" w:themeColor="background1"/>
                <w:sz w:val="28"/>
                <w:szCs w:val="28"/>
              </w:rPr>
              <w:t>Quarterly payments</w:t>
            </w:r>
            <w:r w:rsidR="003613F0" w:rsidRPr="00713CB1">
              <w:rPr>
                <w:color w:val="FFFFFF" w:themeColor="background1"/>
                <w:sz w:val="28"/>
                <w:szCs w:val="28"/>
              </w:rPr>
              <w:t xml:space="preserve"> may occurlater than the first day of the quarter.</w:t>
            </w:r>
          </w:p>
          <w:p w:rsidR="005C57D9" w:rsidRPr="00713CB1" w:rsidRDefault="005C57D9" w:rsidP="005C57D9">
            <w:pPr>
              <w:pStyle w:val="TableParagraph"/>
              <w:numPr>
                <w:ilvl w:val="0"/>
                <w:numId w:val="1"/>
              </w:numPr>
              <w:spacing w:before="144"/>
              <w:ind w:right="3337"/>
              <w:rPr>
                <w:color w:val="FFFFFF" w:themeColor="background1"/>
                <w:sz w:val="28"/>
                <w:szCs w:val="28"/>
              </w:rPr>
            </w:pPr>
            <w:r w:rsidRPr="00713CB1">
              <w:rPr>
                <w:color w:val="FFFFFF" w:themeColor="background1"/>
                <w:sz w:val="28"/>
                <w:szCs w:val="28"/>
              </w:rPr>
              <w:t xml:space="preserve">Unused funds </w:t>
            </w:r>
            <w:r w:rsidR="003613F0" w:rsidRPr="00713CB1">
              <w:rPr>
                <w:color w:val="FFFFFF" w:themeColor="background1"/>
                <w:sz w:val="28"/>
                <w:szCs w:val="28"/>
              </w:rPr>
              <w:t xml:space="preserve">of each quarter </w:t>
            </w:r>
            <w:r w:rsidRPr="00713CB1">
              <w:rPr>
                <w:color w:val="FFFFFF" w:themeColor="background1"/>
                <w:sz w:val="28"/>
                <w:szCs w:val="28"/>
              </w:rPr>
              <w:t xml:space="preserve">expire after the </w:t>
            </w:r>
            <w:r w:rsidR="003613F0" w:rsidRPr="00713CB1">
              <w:rPr>
                <w:color w:val="FFFFFF" w:themeColor="background1"/>
                <w:sz w:val="28"/>
                <w:szCs w:val="28"/>
              </w:rPr>
              <w:t>quarter ends.</w:t>
            </w:r>
          </w:p>
          <w:p w:rsidR="005C57D9" w:rsidRPr="00713CB1" w:rsidRDefault="005C57D9" w:rsidP="005C57D9">
            <w:pPr>
              <w:pStyle w:val="TableParagraph"/>
              <w:numPr>
                <w:ilvl w:val="0"/>
                <w:numId w:val="1"/>
              </w:numPr>
              <w:spacing w:before="144"/>
              <w:ind w:right="3337"/>
              <w:rPr>
                <w:color w:val="FFFFFF" w:themeColor="background1"/>
                <w:sz w:val="28"/>
                <w:szCs w:val="28"/>
              </w:rPr>
            </w:pPr>
            <w:r w:rsidRPr="00713CB1">
              <w:rPr>
                <w:color w:val="FFFFFF" w:themeColor="background1"/>
                <w:sz w:val="28"/>
                <w:szCs w:val="28"/>
              </w:rPr>
              <w:t>Unused funds cannot be converted into cash, used to purchase traveler amenities or rollover into future contract periods</w:t>
            </w:r>
            <w:r w:rsidRPr="00713CB1">
              <w:rPr>
                <w:color w:val="FFFFFF" w:themeColor="background1"/>
                <w:sz w:val="28"/>
                <w:szCs w:val="28"/>
              </w:rPr>
              <w:cr/>
            </w:r>
          </w:p>
          <w:p w:rsidR="00346541" w:rsidRDefault="00346541" w:rsidP="00346541">
            <w:pPr>
              <w:pStyle w:val="TableParagraph"/>
              <w:spacing w:before="144"/>
              <w:ind w:left="360" w:right="3337"/>
              <w:rPr>
                <w:sz w:val="28"/>
                <w:szCs w:val="28"/>
              </w:rPr>
            </w:pPr>
          </w:p>
        </w:tc>
      </w:tr>
    </w:tbl>
    <w:p w:rsidR="001F6E73" w:rsidRDefault="001F6E73" w:rsidP="005C57D9">
      <w:pPr>
        <w:pStyle w:val="TableParagraph"/>
        <w:spacing w:before="144"/>
        <w:ind w:left="720" w:right="3337"/>
        <w:rPr>
          <w:b/>
          <w:sz w:val="40"/>
          <w:szCs w:val="40"/>
        </w:rPr>
      </w:pPr>
    </w:p>
    <w:p w:rsidR="005C57D9" w:rsidRDefault="001F6E73" w:rsidP="005C57D9">
      <w:pPr>
        <w:pStyle w:val="TableParagraph"/>
        <w:spacing w:before="144"/>
        <w:ind w:left="720" w:right="3337"/>
        <w:rPr>
          <w:b/>
          <w:sz w:val="60"/>
          <w:szCs w:val="60"/>
        </w:rPr>
      </w:pPr>
      <w:r w:rsidRPr="001F6E73">
        <w:rPr>
          <w:b/>
          <w:sz w:val="60"/>
          <w:szCs w:val="60"/>
        </w:rPr>
        <w:t xml:space="preserve">ANA Vietnam </w:t>
      </w:r>
      <w:r w:rsidR="00346541">
        <w:rPr>
          <w:b/>
          <w:sz w:val="60"/>
          <w:szCs w:val="60"/>
        </w:rPr>
        <w:t xml:space="preserve">JV </w:t>
      </w:r>
      <w:r w:rsidRPr="001F6E73">
        <w:rPr>
          <w:b/>
          <w:sz w:val="60"/>
          <w:szCs w:val="60"/>
        </w:rPr>
        <w:t>Services Fund terms</w:t>
      </w:r>
    </w:p>
    <w:p w:rsidR="00346541" w:rsidRPr="00713CB1" w:rsidRDefault="00346541" w:rsidP="005C57D9">
      <w:pPr>
        <w:pStyle w:val="TableParagraph"/>
        <w:spacing w:before="144"/>
        <w:ind w:left="720" w:right="3337"/>
        <w:rPr>
          <w:sz w:val="20"/>
          <w:szCs w:val="60"/>
        </w:rPr>
      </w:pPr>
    </w:p>
    <w:tbl>
      <w:tblPr>
        <w:tblStyle w:val="TableGrid"/>
        <w:tblW w:w="0" w:type="auto"/>
        <w:tblInd w:w="720" w:type="dxa"/>
        <w:shd w:val="clear" w:color="auto" w:fill="C6D9F1" w:themeFill="text2" w:themeFillTint="33"/>
        <w:tblLook w:val="04A0" w:firstRow="1" w:lastRow="0" w:firstColumn="1" w:lastColumn="0" w:noHBand="0" w:noVBand="1"/>
      </w:tblPr>
      <w:tblGrid>
        <w:gridCol w:w="21356"/>
      </w:tblGrid>
      <w:tr w:rsidR="005C57D9" w:rsidTr="00713CB1">
        <w:tc>
          <w:tcPr>
            <w:tcW w:w="22076" w:type="dxa"/>
            <w:shd w:val="clear" w:color="auto" w:fill="C6D9F1" w:themeFill="text2" w:themeFillTint="33"/>
          </w:tcPr>
          <w:p w:rsidR="00346541" w:rsidRPr="00713CB1" w:rsidRDefault="00346541" w:rsidP="005C57D9">
            <w:pPr>
              <w:pStyle w:val="TableParagraph"/>
              <w:spacing w:before="144"/>
              <w:ind w:right="3337"/>
              <w:rPr>
                <w:b/>
                <w:sz w:val="10"/>
                <w:szCs w:val="36"/>
              </w:rPr>
            </w:pPr>
          </w:p>
          <w:p w:rsidR="005C57D9" w:rsidRPr="00346541" w:rsidRDefault="005C57D9" w:rsidP="005C57D9">
            <w:pPr>
              <w:pStyle w:val="TableParagraph"/>
              <w:spacing w:before="144"/>
              <w:ind w:right="3337"/>
              <w:rPr>
                <w:b/>
                <w:sz w:val="36"/>
                <w:szCs w:val="36"/>
              </w:rPr>
            </w:pPr>
            <w:r w:rsidRPr="00346541">
              <w:rPr>
                <w:b/>
                <w:sz w:val="36"/>
                <w:szCs w:val="36"/>
              </w:rPr>
              <w:t>All Services Fund parameters are subject to the following:</w:t>
            </w:r>
          </w:p>
          <w:p w:rsidR="005C57D9" w:rsidRPr="001F6E73" w:rsidRDefault="005C57D9" w:rsidP="001F6E73">
            <w:pPr>
              <w:pStyle w:val="TableParagraph"/>
              <w:numPr>
                <w:ilvl w:val="0"/>
                <w:numId w:val="2"/>
              </w:numPr>
              <w:spacing w:before="144"/>
              <w:ind w:right="3337"/>
              <w:rPr>
                <w:sz w:val="28"/>
                <w:szCs w:val="28"/>
              </w:rPr>
            </w:pPr>
            <w:r w:rsidRPr="001F6E73">
              <w:rPr>
                <w:sz w:val="28"/>
                <w:szCs w:val="28"/>
              </w:rPr>
              <w:t>Allowed on 205 tickets</w:t>
            </w:r>
            <w:r w:rsidR="00346541">
              <w:rPr>
                <w:sz w:val="28"/>
                <w:szCs w:val="28"/>
              </w:rPr>
              <w:t xml:space="preserve"> issued in Vietnam</w:t>
            </w:r>
            <w:r w:rsidR="00BD2F75">
              <w:rPr>
                <w:sz w:val="28"/>
                <w:szCs w:val="28"/>
              </w:rPr>
              <w:t xml:space="preserve"> </w:t>
            </w:r>
            <w:r w:rsidR="00346541">
              <w:rPr>
                <w:sz w:val="28"/>
                <w:szCs w:val="28"/>
              </w:rPr>
              <w:t xml:space="preserve">for Joint Venture itinerary </w:t>
            </w:r>
            <w:r w:rsidR="00346541" w:rsidRPr="001F6E73">
              <w:rPr>
                <w:sz w:val="28"/>
                <w:szCs w:val="28"/>
              </w:rPr>
              <w:t>only</w:t>
            </w:r>
            <w:r w:rsidR="004C1CD5">
              <w:rPr>
                <w:sz w:val="28"/>
                <w:szCs w:val="28"/>
              </w:rPr>
              <w:t>.</w:t>
            </w:r>
          </w:p>
          <w:p w:rsidR="005C57D9" w:rsidRPr="001F6E73" w:rsidRDefault="005C57D9" w:rsidP="001F6E73">
            <w:pPr>
              <w:pStyle w:val="TableParagraph"/>
              <w:numPr>
                <w:ilvl w:val="0"/>
                <w:numId w:val="2"/>
              </w:numPr>
              <w:spacing w:before="144"/>
              <w:ind w:right="3337"/>
              <w:rPr>
                <w:sz w:val="28"/>
                <w:szCs w:val="28"/>
              </w:rPr>
            </w:pPr>
            <w:r w:rsidRPr="001F6E73">
              <w:rPr>
                <w:sz w:val="28"/>
                <w:szCs w:val="28"/>
              </w:rPr>
              <w:t>JV partners (</w:t>
            </w:r>
            <w:r w:rsidR="00346541">
              <w:rPr>
                <w:sz w:val="28"/>
                <w:szCs w:val="28"/>
              </w:rPr>
              <w:t>UA</w:t>
            </w:r>
            <w:r w:rsidRPr="001F6E73">
              <w:rPr>
                <w:sz w:val="28"/>
                <w:szCs w:val="28"/>
              </w:rPr>
              <w:t>) are allowed on itinerary and ticket on select waivers/favors. Check each waiver/favor for validity and details.</w:t>
            </w:r>
          </w:p>
          <w:p w:rsidR="001F6E73" w:rsidRPr="001F6E73" w:rsidRDefault="005C57D9" w:rsidP="001F6E73">
            <w:pPr>
              <w:pStyle w:val="TableParagraph"/>
              <w:numPr>
                <w:ilvl w:val="0"/>
                <w:numId w:val="2"/>
              </w:numPr>
              <w:spacing w:before="144"/>
              <w:ind w:right="3337"/>
              <w:rPr>
                <w:sz w:val="28"/>
                <w:szCs w:val="28"/>
              </w:rPr>
            </w:pPr>
            <w:r w:rsidRPr="001F6E73">
              <w:rPr>
                <w:sz w:val="28"/>
                <w:szCs w:val="28"/>
              </w:rPr>
              <w:t>Fixed fares are not eligible for Services Fund redemption, except where noted in the "Additional</w:t>
            </w:r>
            <w:r w:rsidR="001F6E73" w:rsidRPr="001F6E73">
              <w:rPr>
                <w:sz w:val="28"/>
                <w:szCs w:val="28"/>
              </w:rPr>
              <w:t xml:space="preserve"> r</w:t>
            </w:r>
            <w:r w:rsidRPr="001F6E73">
              <w:rPr>
                <w:sz w:val="28"/>
                <w:szCs w:val="28"/>
              </w:rPr>
              <w:t>e</w:t>
            </w:r>
            <w:r w:rsidR="001F6E73" w:rsidRPr="001F6E73">
              <w:rPr>
                <w:sz w:val="28"/>
                <w:szCs w:val="28"/>
              </w:rPr>
              <w:t>quirements"*</w:t>
            </w:r>
          </w:p>
          <w:p w:rsidR="001F6E73" w:rsidRPr="001F6E73" w:rsidRDefault="005C57D9" w:rsidP="001F6E73">
            <w:pPr>
              <w:pStyle w:val="TableParagraph"/>
              <w:spacing w:before="144"/>
              <w:ind w:right="3337"/>
              <w:rPr>
                <w:sz w:val="28"/>
                <w:szCs w:val="28"/>
              </w:rPr>
            </w:pPr>
            <w:r w:rsidRPr="001F6E73">
              <w:rPr>
                <w:sz w:val="28"/>
                <w:szCs w:val="28"/>
              </w:rPr>
              <w:t xml:space="preserve">Unless noted otherwise, all waivers are available for </w:t>
            </w:r>
            <w:r w:rsidR="00346541">
              <w:rPr>
                <w:sz w:val="28"/>
                <w:szCs w:val="28"/>
              </w:rPr>
              <w:t>JV</w:t>
            </w:r>
            <w:r w:rsidRPr="001F6E73">
              <w:rPr>
                <w:sz w:val="28"/>
                <w:szCs w:val="28"/>
              </w:rPr>
              <w:t xml:space="preserve"> itineraries and for all fare classes.</w:t>
            </w:r>
          </w:p>
          <w:p w:rsidR="001F6E73" w:rsidRPr="001F6E73" w:rsidRDefault="005C57D9" w:rsidP="00346541">
            <w:pPr>
              <w:pStyle w:val="TableParagraph"/>
              <w:spacing w:before="144"/>
              <w:ind w:right="3337"/>
              <w:rPr>
                <w:sz w:val="28"/>
                <w:szCs w:val="28"/>
              </w:rPr>
            </w:pPr>
            <w:r w:rsidRPr="001F6E73">
              <w:rPr>
                <w:sz w:val="28"/>
                <w:szCs w:val="28"/>
              </w:rPr>
              <w:t>All other fees, services and products not in the Services Fund matrix will be subjected to payment via credit card,cash or check. (Ex.</w:t>
            </w:r>
            <w:r w:rsidR="00346541">
              <w:rPr>
                <w:sz w:val="28"/>
                <w:szCs w:val="28"/>
              </w:rPr>
              <w:t xml:space="preserve"> A</w:t>
            </w:r>
            <w:r w:rsidRPr="001F6E73">
              <w:rPr>
                <w:sz w:val="28"/>
                <w:szCs w:val="28"/>
              </w:rPr>
              <w:t>dd/collects, memberships, upgrades, airline</w:t>
            </w:r>
            <w:r w:rsidR="001F6E73" w:rsidRPr="001F6E73">
              <w:rPr>
                <w:sz w:val="28"/>
                <w:szCs w:val="28"/>
              </w:rPr>
              <w:t xml:space="preserve"> t</w:t>
            </w:r>
            <w:r w:rsidRPr="001F6E73">
              <w:rPr>
                <w:sz w:val="28"/>
                <w:szCs w:val="28"/>
              </w:rPr>
              <w:t>ickets, travel vouchers and penalties incurred for</w:t>
            </w:r>
            <w:r w:rsidR="001F6E73" w:rsidRPr="001F6E73">
              <w:rPr>
                <w:sz w:val="28"/>
                <w:szCs w:val="28"/>
              </w:rPr>
              <w:t xml:space="preserve"> r</w:t>
            </w:r>
            <w:r w:rsidRPr="001F6E73">
              <w:rPr>
                <w:sz w:val="28"/>
                <w:szCs w:val="28"/>
              </w:rPr>
              <w:t>efunding a ticket.)</w:t>
            </w:r>
          </w:p>
          <w:p w:rsidR="005C57D9" w:rsidRDefault="005C57D9" w:rsidP="00346541">
            <w:pPr>
              <w:pStyle w:val="TableParagraph"/>
              <w:spacing w:before="144"/>
              <w:ind w:right="3337"/>
              <w:rPr>
                <w:b/>
                <w:sz w:val="28"/>
                <w:szCs w:val="28"/>
              </w:rPr>
            </w:pPr>
            <w:r w:rsidRPr="001F6E73">
              <w:rPr>
                <w:b/>
                <w:sz w:val="28"/>
                <w:szCs w:val="28"/>
              </w:rPr>
              <w:t>Pricing and parameters are subject to change</w:t>
            </w:r>
            <w:r w:rsidR="00346541">
              <w:rPr>
                <w:b/>
                <w:sz w:val="28"/>
                <w:szCs w:val="28"/>
              </w:rPr>
              <w:t>.</w:t>
            </w:r>
          </w:p>
          <w:p w:rsidR="00346541" w:rsidRPr="001F6E73" w:rsidRDefault="00346541" w:rsidP="001F6E73">
            <w:pPr>
              <w:pStyle w:val="TableParagraph"/>
              <w:spacing w:before="144"/>
              <w:ind w:right="3337"/>
              <w:rPr>
                <w:b/>
                <w:sz w:val="28"/>
                <w:szCs w:val="28"/>
              </w:rPr>
            </w:pPr>
          </w:p>
        </w:tc>
      </w:tr>
    </w:tbl>
    <w:p w:rsidR="005C57D9" w:rsidRDefault="005C57D9" w:rsidP="005C57D9">
      <w:pPr>
        <w:pStyle w:val="TableParagraph"/>
        <w:spacing w:before="144"/>
        <w:ind w:left="720" w:right="3337"/>
        <w:rPr>
          <w:sz w:val="28"/>
          <w:szCs w:val="28"/>
        </w:rPr>
      </w:pPr>
    </w:p>
    <w:p w:rsidR="005C57D9" w:rsidRDefault="005C57D9" w:rsidP="005C57D9">
      <w:pPr>
        <w:pStyle w:val="TableParagraph"/>
        <w:spacing w:before="144"/>
        <w:ind w:left="720" w:right="3337"/>
        <w:rPr>
          <w:sz w:val="28"/>
          <w:szCs w:val="28"/>
        </w:rPr>
      </w:pPr>
    </w:p>
    <w:p w:rsidR="005C57D9" w:rsidRDefault="005C57D9" w:rsidP="005C57D9">
      <w:pPr>
        <w:pStyle w:val="TableParagraph"/>
        <w:spacing w:before="144"/>
        <w:ind w:left="720" w:right="3337"/>
        <w:rPr>
          <w:sz w:val="28"/>
          <w:szCs w:val="28"/>
        </w:rPr>
      </w:pPr>
    </w:p>
    <w:p w:rsidR="005C57D9" w:rsidRDefault="005C57D9" w:rsidP="005C57D9">
      <w:pPr>
        <w:pStyle w:val="TableParagraph"/>
        <w:spacing w:before="144"/>
        <w:ind w:left="720" w:right="3337"/>
        <w:rPr>
          <w:sz w:val="28"/>
          <w:szCs w:val="28"/>
        </w:rPr>
      </w:pPr>
    </w:p>
    <w:p w:rsidR="00022931" w:rsidRPr="001F6E73" w:rsidRDefault="007E3BAF">
      <w:pPr>
        <w:tabs>
          <w:tab w:val="left" w:pos="13109"/>
        </w:tabs>
        <w:spacing w:before="175"/>
        <w:ind w:left="5859"/>
        <w:rPr>
          <w:sz w:val="60"/>
          <w:szCs w:val="60"/>
        </w:rPr>
      </w:pPr>
      <w:r>
        <w:rPr>
          <w:noProof/>
          <w:sz w:val="60"/>
          <w:szCs w:val="60"/>
        </w:rPr>
        <mc:AlternateContent>
          <mc:Choice Requires="wpg">
            <w:drawing>
              <wp:anchor distT="0" distB="0" distL="114300" distR="114300" simplePos="0" relativeHeight="503297600" behindDoc="1" locked="0" layoutInCell="1" allowOverlap="1">
                <wp:simplePos x="0" y="0"/>
                <wp:positionH relativeFrom="page">
                  <wp:posOffset>5516245</wp:posOffset>
                </wp:positionH>
                <wp:positionV relativeFrom="paragraph">
                  <wp:posOffset>516890</wp:posOffset>
                </wp:positionV>
                <wp:extent cx="3895725" cy="219075"/>
                <wp:effectExtent l="0" t="19050" r="9525" b="952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5725" cy="219075"/>
                          <a:chOff x="8687" y="814"/>
                          <a:chExt cx="6135" cy="345"/>
                        </a:xfrm>
                      </wpg:grpSpPr>
                      <wps:wsp>
                        <wps:cNvPr id="3" name="Rectangle 5"/>
                        <wps:cNvSpPr>
                          <a:spLocks noChangeArrowheads="1"/>
                        </wps:cNvSpPr>
                        <wps:spPr bwMode="auto">
                          <a:xfrm>
                            <a:off x="8687" y="813"/>
                            <a:ext cx="6135"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8687" y="813"/>
                            <a:ext cx="613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331" w:rsidRPr="00C43D6F" w:rsidRDefault="008F7F40">
                              <w:pPr>
                                <w:spacing w:before="52"/>
                                <w:ind w:left="1831"/>
                                <w:rPr>
                                  <w:sz w:val="28"/>
                                  <w:szCs w:val="28"/>
                                </w:rPr>
                              </w:pPr>
                              <w:r>
                                <w:rPr>
                                  <w:sz w:val="28"/>
                                  <w:szCs w:val="28"/>
                                </w:rPr>
                                <w:t>01OCT18-31MAR19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434.35pt;margin-top:40.7pt;width:306.75pt;height:17.25pt;z-index:-18880;mso-position-horizontal-relative:page" coordorigin="8687,814" coordsize="613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">
                <v:rect id="Rectangle 5" o:spid="_x0000_s1027" style="position:absolute;left:8687;top:813;width:61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v:shapetype id="_x0000_t202" coordsize="21600,21600" o:spt="202" path="m,l,21600r21600,l21600,xe">
                  <v:stroke joinstyle="miter"/>
                  <v:path gradientshapeok="t" o:connecttype="rect"/>
                </v:shapetype>
                <v:shape id="Text Box 4" o:spid="_x0000_s1028" type="#_x0000_t202" style="position:absolute;left:8687;top:813;width:613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AB6331" w:rsidRPr="00C43D6F" w:rsidRDefault="008F7F40">
                        <w:pPr>
                          <w:spacing w:before="52"/>
                          <w:ind w:left="1831"/>
                          <w:rPr>
                            <w:sz w:val="28"/>
                            <w:szCs w:val="28"/>
                          </w:rPr>
                        </w:pPr>
                        <w:r>
                          <w:rPr>
                            <w:sz w:val="28"/>
                            <w:szCs w:val="28"/>
                          </w:rPr>
                          <w:t>01OCT18-31MAR19</w:t>
                        </w:r>
                      </w:p>
                    </w:txbxContent>
                  </v:textbox>
                </v:shape>
                <w10:wrap anchorx="page"/>
              </v:group>
            </w:pict>
          </mc:Fallback>
        </mc:AlternateContent>
      </w:r>
      <w:r w:rsidR="00973DC4" w:rsidRPr="001F6E73">
        <w:rPr>
          <w:color w:val="001F5F"/>
          <w:spacing w:val="30"/>
          <w:sz w:val="60"/>
          <w:szCs w:val="60"/>
        </w:rPr>
        <w:t>ANA</w:t>
      </w:r>
      <w:r w:rsidR="00346541">
        <w:rPr>
          <w:color w:val="001F5F"/>
          <w:spacing w:val="30"/>
          <w:sz w:val="60"/>
          <w:szCs w:val="60"/>
        </w:rPr>
        <w:t xml:space="preserve"> Vietnam JV</w:t>
      </w:r>
      <w:r w:rsidR="00F61C87" w:rsidRPr="001F6E73">
        <w:rPr>
          <w:color w:val="001F5F"/>
          <w:spacing w:val="6"/>
          <w:sz w:val="60"/>
          <w:szCs w:val="60"/>
        </w:rPr>
        <w:t>Serv</w:t>
      </w:r>
      <w:r w:rsidR="00F61C87" w:rsidRPr="001F6E73">
        <w:rPr>
          <w:color w:val="001F5F"/>
          <w:spacing w:val="15"/>
          <w:sz w:val="60"/>
          <w:szCs w:val="60"/>
        </w:rPr>
        <w:t>ices</w:t>
      </w:r>
      <w:r w:rsidR="00F61C87" w:rsidRPr="001F6E73">
        <w:rPr>
          <w:color w:val="001F5F"/>
          <w:spacing w:val="5"/>
          <w:sz w:val="60"/>
          <w:szCs w:val="60"/>
        </w:rPr>
        <w:t>Fund</w:t>
      </w:r>
      <w:r w:rsidR="001F6E73" w:rsidRPr="001F6E73">
        <w:rPr>
          <w:color w:val="001F5F"/>
          <w:spacing w:val="8"/>
          <w:sz w:val="60"/>
          <w:szCs w:val="60"/>
        </w:rPr>
        <w:t>Offering</w:t>
      </w:r>
      <w:r w:rsidR="00346541">
        <w:rPr>
          <w:color w:val="001F5F"/>
          <w:spacing w:val="8"/>
          <w:sz w:val="60"/>
          <w:szCs w:val="60"/>
        </w:rPr>
        <w:t>s</w:t>
      </w:r>
      <w:r w:rsidR="001F6E73" w:rsidRPr="001F6E73">
        <w:rPr>
          <w:color w:val="001F5F"/>
          <w:spacing w:val="8"/>
          <w:sz w:val="60"/>
          <w:szCs w:val="60"/>
        </w:rPr>
        <w:t xml:space="preserve"> for</w:t>
      </w:r>
      <w:r w:rsidR="00F61C87" w:rsidRPr="001F6E73">
        <w:rPr>
          <w:color w:val="001F5F"/>
          <w:spacing w:val="-4"/>
          <w:sz w:val="60"/>
          <w:szCs w:val="60"/>
        </w:rPr>
        <w:t>TMC's</w:t>
      </w:r>
    </w:p>
    <w:p w:rsidR="00022931" w:rsidRDefault="00022931">
      <w:pPr>
        <w:pStyle w:val="BodyText"/>
        <w:rPr>
          <w:sz w:val="20"/>
        </w:rPr>
      </w:pPr>
    </w:p>
    <w:p w:rsidR="00022931" w:rsidRDefault="00022931">
      <w:pPr>
        <w:pStyle w:val="BodyText"/>
        <w:spacing w:before="4"/>
      </w:pPr>
    </w:p>
    <w:tbl>
      <w:tblPr>
        <w:tblW w:w="22129" w:type="dxa"/>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48"/>
        <w:gridCol w:w="2401"/>
        <w:gridCol w:w="2700"/>
        <w:gridCol w:w="2070"/>
        <w:gridCol w:w="2520"/>
        <w:gridCol w:w="1620"/>
        <w:gridCol w:w="1530"/>
        <w:gridCol w:w="7740"/>
      </w:tblGrid>
      <w:tr w:rsidR="009C679B" w:rsidTr="00713CB1">
        <w:trPr>
          <w:trHeight w:val="1060"/>
        </w:trPr>
        <w:tc>
          <w:tcPr>
            <w:tcW w:w="3949" w:type="dxa"/>
            <w:gridSpan w:val="2"/>
            <w:tcBorders>
              <w:right w:val="single" w:sz="4" w:space="0" w:color="000000"/>
            </w:tcBorders>
            <w:shd w:val="clear" w:color="auto" w:fill="79C24A"/>
          </w:tcPr>
          <w:p w:rsidR="009C679B" w:rsidRPr="004D0DCE" w:rsidRDefault="009C679B">
            <w:pPr>
              <w:pStyle w:val="TableParagraph"/>
              <w:spacing w:before="8"/>
              <w:rPr>
                <w:b/>
                <w:sz w:val="24"/>
                <w:szCs w:val="24"/>
              </w:rPr>
            </w:pPr>
          </w:p>
          <w:p w:rsidR="009C679B" w:rsidRPr="004D0DCE" w:rsidRDefault="009C679B" w:rsidP="004D0DCE">
            <w:pPr>
              <w:pStyle w:val="TableParagraph"/>
              <w:ind w:right="1829"/>
              <w:jc w:val="right"/>
              <w:rPr>
                <w:b/>
                <w:sz w:val="24"/>
                <w:szCs w:val="24"/>
              </w:rPr>
            </w:pPr>
            <w:r w:rsidRPr="004D0DCE">
              <w:rPr>
                <w:b/>
                <w:color w:val="FFFFFF"/>
                <w:w w:val="105"/>
                <w:sz w:val="24"/>
                <w:szCs w:val="24"/>
              </w:rPr>
              <w:t>Servic</w:t>
            </w:r>
            <w:r w:rsidR="004D0DCE" w:rsidRPr="004D0DCE">
              <w:rPr>
                <w:b/>
                <w:color w:val="FFFFFF"/>
                <w:w w:val="105"/>
                <w:sz w:val="24"/>
                <w:szCs w:val="24"/>
              </w:rPr>
              <w:t>e</w:t>
            </w:r>
          </w:p>
        </w:tc>
        <w:tc>
          <w:tcPr>
            <w:tcW w:w="2700" w:type="dxa"/>
            <w:tcBorders>
              <w:right w:val="single" w:sz="4" w:space="0" w:color="000000"/>
            </w:tcBorders>
            <w:shd w:val="clear" w:color="auto" w:fill="79C24A"/>
          </w:tcPr>
          <w:p w:rsidR="009C679B" w:rsidRPr="004D0DCE" w:rsidRDefault="009C679B">
            <w:pPr>
              <w:pStyle w:val="TableParagraph"/>
              <w:spacing w:line="283" w:lineRule="auto"/>
              <w:ind w:left="43" w:right="53"/>
              <w:jc w:val="center"/>
              <w:rPr>
                <w:b/>
                <w:color w:val="FFFFFF"/>
                <w:w w:val="105"/>
                <w:sz w:val="24"/>
                <w:szCs w:val="24"/>
              </w:rPr>
            </w:pPr>
          </w:p>
          <w:p w:rsidR="009C679B" w:rsidRPr="004D0DCE" w:rsidRDefault="009C679B" w:rsidP="00605F8F">
            <w:pPr>
              <w:pStyle w:val="TableParagraph"/>
              <w:spacing w:line="283" w:lineRule="auto"/>
              <w:ind w:right="53"/>
              <w:jc w:val="center"/>
              <w:rPr>
                <w:b/>
                <w:color w:val="FFFFFF"/>
                <w:w w:val="105"/>
                <w:sz w:val="24"/>
                <w:szCs w:val="24"/>
              </w:rPr>
            </w:pPr>
            <w:r w:rsidRPr="004D0DCE">
              <w:rPr>
                <w:b/>
                <w:color w:val="FFFFFF"/>
                <w:w w:val="105"/>
                <w:sz w:val="24"/>
                <w:szCs w:val="24"/>
              </w:rPr>
              <w:t>Description</w:t>
            </w:r>
          </w:p>
        </w:tc>
        <w:tc>
          <w:tcPr>
            <w:tcW w:w="2070" w:type="dxa"/>
            <w:tcBorders>
              <w:left w:val="single" w:sz="4" w:space="0" w:color="000000"/>
              <w:right w:val="single" w:sz="4" w:space="0" w:color="000000"/>
            </w:tcBorders>
            <w:shd w:val="clear" w:color="auto" w:fill="79C24A"/>
          </w:tcPr>
          <w:p w:rsidR="009C679B" w:rsidRPr="004D0DCE" w:rsidRDefault="009C679B" w:rsidP="00713CB1">
            <w:pPr>
              <w:pStyle w:val="TableParagraph"/>
              <w:spacing w:line="283" w:lineRule="auto"/>
              <w:ind w:right="53"/>
              <w:jc w:val="center"/>
              <w:rPr>
                <w:b/>
                <w:sz w:val="24"/>
                <w:szCs w:val="24"/>
              </w:rPr>
            </w:pPr>
            <w:r w:rsidRPr="004D0DCE">
              <w:rPr>
                <w:b/>
                <w:color w:val="FFFFFF"/>
                <w:w w:val="105"/>
                <w:sz w:val="24"/>
                <w:szCs w:val="24"/>
              </w:rPr>
              <w:t>Services Fund PricinginUSD</w:t>
            </w:r>
            <w:r w:rsidR="00AB6331">
              <w:rPr>
                <w:b/>
                <w:color w:val="FFFFFF"/>
                <w:w w:val="105"/>
                <w:sz w:val="24"/>
                <w:szCs w:val="24"/>
              </w:rPr>
              <w:t xml:space="preserve"> per Ticket</w:t>
            </w:r>
          </w:p>
        </w:tc>
        <w:tc>
          <w:tcPr>
            <w:tcW w:w="2520" w:type="dxa"/>
            <w:tcBorders>
              <w:left w:val="single" w:sz="4" w:space="0" w:color="000000"/>
              <w:right w:val="single" w:sz="4" w:space="0" w:color="000000"/>
            </w:tcBorders>
            <w:shd w:val="clear" w:color="auto" w:fill="79C24A"/>
          </w:tcPr>
          <w:p w:rsidR="009C679B" w:rsidRPr="004D0DCE" w:rsidRDefault="009C679B" w:rsidP="00713CB1">
            <w:pPr>
              <w:pStyle w:val="TableParagraph"/>
              <w:spacing w:before="135" w:line="283" w:lineRule="auto"/>
              <w:ind w:right="144"/>
              <w:jc w:val="center"/>
              <w:rPr>
                <w:b/>
                <w:sz w:val="24"/>
                <w:szCs w:val="24"/>
              </w:rPr>
            </w:pPr>
            <w:r w:rsidRPr="004D0DCE">
              <w:rPr>
                <w:b/>
                <w:color w:val="FFFFFF"/>
                <w:w w:val="105"/>
                <w:sz w:val="24"/>
                <w:szCs w:val="24"/>
              </w:rPr>
              <w:t>Applicable with JV Partners on ticket/ PNR (UA)</w:t>
            </w:r>
          </w:p>
        </w:tc>
        <w:tc>
          <w:tcPr>
            <w:tcW w:w="1620" w:type="dxa"/>
            <w:tcBorders>
              <w:left w:val="single" w:sz="4" w:space="0" w:color="000000"/>
              <w:right w:val="single" w:sz="4" w:space="0" w:color="000000"/>
            </w:tcBorders>
            <w:shd w:val="clear" w:color="auto" w:fill="79C24A"/>
          </w:tcPr>
          <w:p w:rsidR="00713CB1" w:rsidRDefault="00713CB1" w:rsidP="00713CB1">
            <w:pPr>
              <w:pStyle w:val="TableParagraph"/>
              <w:ind w:right="210"/>
              <w:jc w:val="center"/>
              <w:rPr>
                <w:b/>
                <w:color w:val="FFFFFF"/>
                <w:w w:val="105"/>
                <w:sz w:val="24"/>
                <w:szCs w:val="24"/>
              </w:rPr>
            </w:pPr>
          </w:p>
          <w:p w:rsidR="009C679B" w:rsidRPr="004D0DCE" w:rsidRDefault="009C679B" w:rsidP="00713CB1">
            <w:pPr>
              <w:pStyle w:val="TableParagraph"/>
              <w:ind w:right="210"/>
              <w:jc w:val="center"/>
              <w:rPr>
                <w:b/>
                <w:sz w:val="24"/>
                <w:szCs w:val="24"/>
              </w:rPr>
            </w:pPr>
            <w:r w:rsidRPr="004D0DCE">
              <w:rPr>
                <w:b/>
                <w:color w:val="FFFFFF"/>
                <w:w w:val="105"/>
                <w:sz w:val="24"/>
                <w:szCs w:val="24"/>
              </w:rPr>
              <w:t>Seat</w:t>
            </w:r>
          </w:p>
          <w:p w:rsidR="009C679B" w:rsidRPr="004D0DCE" w:rsidRDefault="009C679B" w:rsidP="00713CB1">
            <w:pPr>
              <w:pStyle w:val="TableParagraph"/>
              <w:spacing w:before="43"/>
              <w:ind w:right="213"/>
              <w:jc w:val="center"/>
              <w:rPr>
                <w:b/>
                <w:sz w:val="24"/>
                <w:szCs w:val="24"/>
              </w:rPr>
            </w:pPr>
            <w:r w:rsidRPr="004D0DCE">
              <w:rPr>
                <w:b/>
                <w:color w:val="FFFFFF"/>
                <w:w w:val="105"/>
                <w:sz w:val="24"/>
                <w:szCs w:val="24"/>
              </w:rPr>
              <w:t>Availability</w:t>
            </w:r>
          </w:p>
        </w:tc>
        <w:tc>
          <w:tcPr>
            <w:tcW w:w="1530" w:type="dxa"/>
            <w:tcBorders>
              <w:left w:val="single" w:sz="4" w:space="0" w:color="000000"/>
              <w:right w:val="single" w:sz="4" w:space="0" w:color="000000"/>
            </w:tcBorders>
            <w:shd w:val="clear" w:color="auto" w:fill="79C24A"/>
          </w:tcPr>
          <w:p w:rsidR="009C679B" w:rsidRPr="004D0DCE" w:rsidRDefault="009C679B" w:rsidP="00973DC4">
            <w:pPr>
              <w:pStyle w:val="TableParagraph"/>
              <w:spacing w:before="135" w:line="283" w:lineRule="auto"/>
              <w:ind w:left="314" w:right="63" w:hanging="235"/>
              <w:rPr>
                <w:b/>
                <w:sz w:val="24"/>
                <w:szCs w:val="24"/>
              </w:rPr>
            </w:pPr>
            <w:r w:rsidRPr="004D0DCE">
              <w:rPr>
                <w:b/>
                <w:color w:val="FFFFFF"/>
                <w:w w:val="105"/>
                <w:sz w:val="24"/>
                <w:szCs w:val="24"/>
              </w:rPr>
              <w:t>Grant Days Before Dept.</w:t>
            </w:r>
          </w:p>
        </w:tc>
        <w:tc>
          <w:tcPr>
            <w:tcW w:w="7740" w:type="dxa"/>
            <w:tcBorders>
              <w:left w:val="single" w:sz="4" w:space="0" w:color="000000"/>
            </w:tcBorders>
            <w:shd w:val="clear" w:color="auto" w:fill="79C24A"/>
          </w:tcPr>
          <w:p w:rsidR="009C679B" w:rsidRPr="004D0DCE" w:rsidRDefault="004D0DCE" w:rsidP="00605F8F">
            <w:pPr>
              <w:pStyle w:val="TableParagraph"/>
              <w:spacing w:before="144"/>
              <w:ind w:right="3337"/>
              <w:jc w:val="center"/>
              <w:rPr>
                <w:b/>
                <w:sz w:val="24"/>
                <w:szCs w:val="24"/>
              </w:rPr>
            </w:pPr>
            <w:r>
              <w:rPr>
                <w:b/>
                <w:color w:val="FFFFFF"/>
                <w:w w:val="105"/>
                <w:sz w:val="24"/>
                <w:szCs w:val="24"/>
              </w:rPr>
              <w:t>A</w:t>
            </w:r>
            <w:r w:rsidR="009C679B" w:rsidRPr="004D0DCE">
              <w:rPr>
                <w:b/>
                <w:color w:val="FFFFFF"/>
                <w:w w:val="105"/>
                <w:sz w:val="24"/>
                <w:szCs w:val="24"/>
              </w:rPr>
              <w:t xml:space="preserve">dditional </w:t>
            </w:r>
            <w:r>
              <w:rPr>
                <w:b/>
                <w:color w:val="FFFFFF"/>
                <w:w w:val="105"/>
                <w:sz w:val="24"/>
                <w:szCs w:val="24"/>
              </w:rPr>
              <w:t>R</w:t>
            </w:r>
            <w:r w:rsidR="009C679B" w:rsidRPr="004D0DCE">
              <w:rPr>
                <w:b/>
                <w:color w:val="FFFFFF"/>
                <w:w w:val="105"/>
                <w:sz w:val="24"/>
                <w:szCs w:val="24"/>
              </w:rPr>
              <w:t>equirements</w:t>
            </w:r>
          </w:p>
        </w:tc>
      </w:tr>
      <w:tr w:rsidR="009C679B" w:rsidTr="00713CB1">
        <w:trPr>
          <w:trHeight w:val="1080"/>
        </w:trPr>
        <w:tc>
          <w:tcPr>
            <w:tcW w:w="1548" w:type="dxa"/>
            <w:tcBorders>
              <w:top w:val="nil"/>
            </w:tcBorders>
            <w:shd w:val="clear" w:color="auto" w:fill="F4791F"/>
          </w:tcPr>
          <w:p w:rsidR="002C2053" w:rsidRDefault="002C2053" w:rsidP="005E2E12">
            <w:pPr>
              <w:jc w:val="center"/>
              <w:rPr>
                <w:color w:val="FFFFFF"/>
                <w:spacing w:val="8"/>
                <w:w w:val="105"/>
              </w:rPr>
            </w:pPr>
          </w:p>
          <w:p w:rsidR="009C679B" w:rsidRPr="005E2E12" w:rsidRDefault="009C679B" w:rsidP="005E2E12">
            <w:pPr>
              <w:jc w:val="center"/>
            </w:pPr>
            <w:r w:rsidRPr="005E2E12">
              <w:rPr>
                <w:color w:val="FFFFFF"/>
                <w:spacing w:val="8"/>
                <w:w w:val="105"/>
              </w:rPr>
              <w:t>Penalty fees</w:t>
            </w:r>
            <w:r w:rsidRPr="005E2E12">
              <w:rPr>
                <w:color w:val="FFFFFF"/>
                <w:spacing w:val="5"/>
                <w:w w:val="105"/>
              </w:rPr>
              <w:t xml:space="preserve">and </w:t>
            </w:r>
            <w:r w:rsidRPr="005E2E12">
              <w:rPr>
                <w:color w:val="FFFFFF"/>
                <w:spacing w:val="11"/>
                <w:w w:val="105"/>
              </w:rPr>
              <w:t>refund</w:t>
            </w:r>
            <w:r w:rsidRPr="005E2E12">
              <w:rPr>
                <w:color w:val="FFFFFF"/>
                <w:w w:val="105"/>
              </w:rPr>
              <w:t>s</w:t>
            </w:r>
          </w:p>
        </w:tc>
        <w:tc>
          <w:tcPr>
            <w:tcW w:w="2401" w:type="dxa"/>
            <w:tcBorders>
              <w:top w:val="single" w:sz="4" w:space="0" w:color="000000"/>
              <w:right w:val="single" w:sz="4" w:space="0" w:color="000000"/>
            </w:tcBorders>
            <w:shd w:val="clear" w:color="auto" w:fill="D9D9D9"/>
          </w:tcPr>
          <w:p w:rsidR="009C679B" w:rsidRDefault="009C679B" w:rsidP="00E90652">
            <w:pPr>
              <w:pStyle w:val="TableParagraph"/>
            </w:pPr>
          </w:p>
          <w:p w:rsidR="009C679B" w:rsidRDefault="009C679B" w:rsidP="00E90652">
            <w:pPr>
              <w:pStyle w:val="TableParagraph"/>
              <w:spacing w:before="1"/>
              <w:rPr>
                <w:sz w:val="19"/>
              </w:rPr>
            </w:pPr>
          </w:p>
          <w:p w:rsidR="009C679B" w:rsidRDefault="009C679B" w:rsidP="009C679B">
            <w:pPr>
              <w:pStyle w:val="TableParagraph"/>
              <w:ind w:left="24"/>
              <w:rPr>
                <w:sz w:val="19"/>
              </w:rPr>
            </w:pPr>
            <w:r>
              <w:rPr>
                <w:sz w:val="19"/>
              </w:rPr>
              <w:t>Reissue  Penalty Fee</w:t>
            </w:r>
          </w:p>
        </w:tc>
        <w:tc>
          <w:tcPr>
            <w:tcW w:w="2700" w:type="dxa"/>
            <w:tcBorders>
              <w:top w:val="single" w:sz="4" w:space="0" w:color="000000"/>
              <w:right w:val="single" w:sz="4" w:space="0" w:color="000000"/>
            </w:tcBorders>
          </w:tcPr>
          <w:p w:rsidR="00283C65" w:rsidRDefault="00283C65" w:rsidP="00E90652">
            <w:pPr>
              <w:pStyle w:val="TableParagraph"/>
              <w:rPr>
                <w:sz w:val="19"/>
                <w:szCs w:val="19"/>
              </w:rPr>
            </w:pPr>
          </w:p>
          <w:p w:rsidR="00283C65" w:rsidRDefault="00283C65" w:rsidP="00E90652">
            <w:pPr>
              <w:pStyle w:val="TableParagraph"/>
              <w:rPr>
                <w:sz w:val="19"/>
                <w:szCs w:val="19"/>
              </w:rPr>
            </w:pPr>
          </w:p>
          <w:p w:rsidR="009C679B" w:rsidRPr="00283C65" w:rsidRDefault="00283C65" w:rsidP="00E90652">
            <w:pPr>
              <w:pStyle w:val="TableParagraph"/>
              <w:rPr>
                <w:sz w:val="19"/>
                <w:szCs w:val="19"/>
              </w:rPr>
            </w:pPr>
            <w:r w:rsidRPr="00283C65">
              <w:rPr>
                <w:sz w:val="19"/>
                <w:szCs w:val="19"/>
              </w:rPr>
              <w:t>Waives change fees</w:t>
            </w:r>
          </w:p>
        </w:tc>
        <w:tc>
          <w:tcPr>
            <w:tcW w:w="2070" w:type="dxa"/>
            <w:tcBorders>
              <w:top w:val="single" w:sz="4" w:space="0" w:color="000000"/>
              <w:left w:val="single" w:sz="4" w:space="0" w:color="000000"/>
              <w:right w:val="single" w:sz="4" w:space="0" w:color="000000"/>
            </w:tcBorders>
          </w:tcPr>
          <w:p w:rsidR="009C679B" w:rsidRPr="00283C65" w:rsidRDefault="009C679B" w:rsidP="00E90652">
            <w:pPr>
              <w:pStyle w:val="TableParagraph"/>
              <w:rPr>
                <w:sz w:val="19"/>
                <w:szCs w:val="19"/>
              </w:rPr>
            </w:pPr>
          </w:p>
          <w:p w:rsidR="009C679B" w:rsidRPr="00283C65" w:rsidRDefault="009C679B" w:rsidP="00E90652">
            <w:pPr>
              <w:pStyle w:val="TableParagraph"/>
              <w:spacing w:before="10"/>
              <w:rPr>
                <w:sz w:val="19"/>
                <w:szCs w:val="19"/>
              </w:rPr>
            </w:pPr>
          </w:p>
          <w:p w:rsidR="009C679B" w:rsidRPr="00283C65" w:rsidRDefault="009C679B" w:rsidP="00C43D6F">
            <w:pPr>
              <w:pStyle w:val="TableParagraph"/>
              <w:spacing w:before="17"/>
              <w:ind w:left="57" w:right="5"/>
              <w:jc w:val="center"/>
              <w:rPr>
                <w:b/>
                <w:sz w:val="19"/>
                <w:szCs w:val="19"/>
              </w:rPr>
            </w:pPr>
            <w:r w:rsidRPr="00283C65">
              <w:rPr>
                <w:b/>
                <w:sz w:val="19"/>
                <w:szCs w:val="19"/>
              </w:rPr>
              <w:t>$300 International</w:t>
            </w:r>
          </w:p>
        </w:tc>
        <w:tc>
          <w:tcPr>
            <w:tcW w:w="2520" w:type="dxa"/>
            <w:tcBorders>
              <w:top w:val="single" w:sz="4" w:space="0" w:color="000000"/>
              <w:left w:val="single" w:sz="4" w:space="0" w:color="000000"/>
              <w:right w:val="single" w:sz="4" w:space="0" w:color="000000"/>
            </w:tcBorders>
          </w:tcPr>
          <w:p w:rsidR="009C679B" w:rsidRPr="00283C65" w:rsidRDefault="009C679B" w:rsidP="00E90652">
            <w:pPr>
              <w:pStyle w:val="TableParagraph"/>
              <w:spacing w:before="8"/>
              <w:rPr>
                <w:sz w:val="19"/>
                <w:szCs w:val="19"/>
              </w:rPr>
            </w:pPr>
          </w:p>
          <w:p w:rsidR="009C679B" w:rsidRPr="00283C65" w:rsidRDefault="009C679B" w:rsidP="004C1CD5">
            <w:pPr>
              <w:pStyle w:val="TableParagraph"/>
              <w:spacing w:before="1" w:line="256" w:lineRule="auto"/>
              <w:ind w:left="71" w:right="65"/>
              <w:jc w:val="center"/>
              <w:rPr>
                <w:sz w:val="19"/>
                <w:szCs w:val="19"/>
              </w:rPr>
            </w:pPr>
            <w:r w:rsidRPr="00283C65">
              <w:rPr>
                <w:sz w:val="19"/>
                <w:szCs w:val="19"/>
              </w:rPr>
              <w:t>JV partners are allowed on the ticket.</w:t>
            </w:r>
          </w:p>
        </w:tc>
        <w:tc>
          <w:tcPr>
            <w:tcW w:w="1620" w:type="dxa"/>
            <w:tcBorders>
              <w:top w:val="single" w:sz="4" w:space="0" w:color="000000"/>
              <w:left w:val="single" w:sz="4" w:space="0" w:color="000000"/>
              <w:right w:val="single" w:sz="4" w:space="0" w:color="000000"/>
            </w:tcBorders>
          </w:tcPr>
          <w:p w:rsidR="009C679B" w:rsidRPr="00283C65" w:rsidRDefault="009C679B" w:rsidP="00E90652">
            <w:pPr>
              <w:pStyle w:val="TableParagraph"/>
              <w:rPr>
                <w:sz w:val="19"/>
                <w:szCs w:val="19"/>
              </w:rPr>
            </w:pPr>
          </w:p>
          <w:p w:rsidR="009C679B" w:rsidRPr="00283C65" w:rsidRDefault="009C679B" w:rsidP="00E90652">
            <w:pPr>
              <w:pStyle w:val="TableParagraph"/>
              <w:spacing w:before="10"/>
              <w:rPr>
                <w:sz w:val="19"/>
                <w:szCs w:val="19"/>
              </w:rPr>
            </w:pPr>
          </w:p>
          <w:p w:rsidR="009C679B" w:rsidRPr="00283C65" w:rsidRDefault="009C679B" w:rsidP="00E90652">
            <w:pPr>
              <w:pStyle w:val="TableParagraph"/>
              <w:ind w:left="191" w:right="187"/>
              <w:jc w:val="center"/>
              <w:rPr>
                <w:sz w:val="19"/>
                <w:szCs w:val="19"/>
              </w:rPr>
            </w:pPr>
            <w:r w:rsidRPr="00283C65">
              <w:rPr>
                <w:sz w:val="19"/>
                <w:szCs w:val="19"/>
              </w:rPr>
              <w:t>NA</w:t>
            </w:r>
          </w:p>
        </w:tc>
        <w:tc>
          <w:tcPr>
            <w:tcW w:w="1530" w:type="dxa"/>
            <w:tcBorders>
              <w:top w:val="single" w:sz="4" w:space="0" w:color="000000"/>
              <w:left w:val="single" w:sz="4" w:space="0" w:color="000000"/>
              <w:right w:val="single" w:sz="4" w:space="0" w:color="000000"/>
            </w:tcBorders>
          </w:tcPr>
          <w:p w:rsidR="009C679B" w:rsidRPr="00283C65" w:rsidRDefault="009C679B" w:rsidP="00E90652">
            <w:pPr>
              <w:pStyle w:val="TableParagraph"/>
              <w:rPr>
                <w:sz w:val="19"/>
                <w:szCs w:val="19"/>
              </w:rPr>
            </w:pPr>
          </w:p>
          <w:p w:rsidR="009C679B" w:rsidRPr="00283C65" w:rsidRDefault="009C679B" w:rsidP="00E90652">
            <w:pPr>
              <w:pStyle w:val="TableParagraph"/>
              <w:spacing w:before="10"/>
              <w:rPr>
                <w:sz w:val="19"/>
                <w:szCs w:val="19"/>
              </w:rPr>
            </w:pPr>
          </w:p>
          <w:p w:rsidR="009C679B" w:rsidRPr="00283C65" w:rsidRDefault="009C679B" w:rsidP="00E90652">
            <w:pPr>
              <w:pStyle w:val="TableParagraph"/>
              <w:ind w:left="434" w:right="429"/>
              <w:jc w:val="center"/>
              <w:rPr>
                <w:sz w:val="19"/>
                <w:szCs w:val="19"/>
              </w:rPr>
            </w:pPr>
            <w:r w:rsidRPr="00283C65">
              <w:rPr>
                <w:sz w:val="19"/>
                <w:szCs w:val="19"/>
              </w:rPr>
              <w:t>Any</w:t>
            </w:r>
          </w:p>
        </w:tc>
        <w:tc>
          <w:tcPr>
            <w:tcW w:w="7740" w:type="dxa"/>
            <w:tcBorders>
              <w:top w:val="single" w:sz="4" w:space="0" w:color="000000"/>
              <w:left w:val="single" w:sz="4" w:space="0" w:color="000000"/>
            </w:tcBorders>
          </w:tcPr>
          <w:p w:rsidR="009C679B" w:rsidRPr="00283C65" w:rsidRDefault="009C679B" w:rsidP="00E90652">
            <w:pPr>
              <w:pStyle w:val="TableParagraph"/>
              <w:spacing w:before="8"/>
              <w:rPr>
                <w:sz w:val="19"/>
                <w:szCs w:val="19"/>
              </w:rPr>
            </w:pPr>
          </w:p>
          <w:p w:rsidR="009C679B" w:rsidRPr="00283C65" w:rsidRDefault="009C679B" w:rsidP="00E90652">
            <w:pPr>
              <w:pStyle w:val="TableParagraph"/>
              <w:spacing w:line="256" w:lineRule="auto"/>
              <w:ind w:left="28" w:right="219"/>
              <w:rPr>
                <w:sz w:val="19"/>
                <w:szCs w:val="19"/>
              </w:rPr>
            </w:pPr>
            <w:r w:rsidRPr="00283C65">
              <w:rPr>
                <w:sz w:val="19"/>
                <w:szCs w:val="19"/>
              </w:rPr>
              <w:t>Services fund will only cover the cost of the penalty associated with the exchange fee. Refund penalties or collection of add/collects associated with the difference in fares are not allowed for payment under the services fund. Must be a through fare. No broken or point to point fares.</w:t>
            </w:r>
          </w:p>
        </w:tc>
      </w:tr>
      <w:tr w:rsidR="009C679B" w:rsidTr="00713CB1">
        <w:trPr>
          <w:trHeight w:val="280"/>
        </w:trPr>
        <w:tc>
          <w:tcPr>
            <w:tcW w:w="1548" w:type="dxa"/>
            <w:vMerge w:val="restart"/>
            <w:shd w:val="clear" w:color="auto" w:fill="0092B1"/>
          </w:tcPr>
          <w:p w:rsidR="002C2053" w:rsidRDefault="002C2053" w:rsidP="005E2E12">
            <w:pPr>
              <w:pStyle w:val="TableParagraph"/>
              <w:jc w:val="center"/>
              <w:rPr>
                <w:color w:val="FFFFFF"/>
                <w:w w:val="105"/>
              </w:rPr>
            </w:pPr>
          </w:p>
          <w:p w:rsidR="009C679B" w:rsidRPr="005E2E12" w:rsidRDefault="009C679B" w:rsidP="005E2E12">
            <w:pPr>
              <w:pStyle w:val="TableParagraph"/>
              <w:jc w:val="center"/>
            </w:pPr>
            <w:r w:rsidRPr="005E2E12">
              <w:rPr>
                <w:color w:val="FFFFFF"/>
                <w:w w:val="105"/>
              </w:rPr>
              <w:t>Ticketing and booking classes</w:t>
            </w:r>
          </w:p>
        </w:tc>
        <w:tc>
          <w:tcPr>
            <w:tcW w:w="2401" w:type="dxa"/>
            <w:tcBorders>
              <w:bottom w:val="single" w:sz="4" w:space="0" w:color="000000"/>
              <w:right w:val="single" w:sz="4" w:space="0" w:color="000000"/>
            </w:tcBorders>
            <w:shd w:val="clear" w:color="auto" w:fill="D9D9D9"/>
          </w:tcPr>
          <w:p w:rsidR="009C679B" w:rsidRDefault="009C679B">
            <w:pPr>
              <w:pStyle w:val="TableParagraph"/>
              <w:spacing w:before="38"/>
              <w:ind w:left="25"/>
              <w:rPr>
                <w:sz w:val="19"/>
              </w:rPr>
            </w:pPr>
            <w:r>
              <w:rPr>
                <w:sz w:val="19"/>
              </w:rPr>
              <w:t>AP -  3 day</w:t>
            </w:r>
          </w:p>
        </w:tc>
        <w:tc>
          <w:tcPr>
            <w:tcW w:w="2700" w:type="dxa"/>
            <w:vMerge w:val="restart"/>
            <w:tcBorders>
              <w:right w:val="single" w:sz="4" w:space="0" w:color="000000"/>
            </w:tcBorders>
          </w:tcPr>
          <w:p w:rsidR="009C679B" w:rsidRPr="00283C65" w:rsidRDefault="00283C65" w:rsidP="00283C65">
            <w:pPr>
              <w:pStyle w:val="TableParagraph"/>
              <w:rPr>
                <w:sz w:val="19"/>
                <w:szCs w:val="19"/>
              </w:rPr>
            </w:pPr>
            <w:r w:rsidRPr="00283C65">
              <w:rPr>
                <w:sz w:val="19"/>
                <w:szCs w:val="19"/>
              </w:rPr>
              <w:t>Permits waiving of advanced purchase rule on new PNR. Allows customer to purchase 1 AP level back.</w:t>
            </w:r>
          </w:p>
        </w:tc>
        <w:tc>
          <w:tcPr>
            <w:tcW w:w="2070" w:type="dxa"/>
            <w:vMerge w:val="restart"/>
            <w:tcBorders>
              <w:left w:val="single" w:sz="4" w:space="0" w:color="000000"/>
              <w:bottom w:val="single" w:sz="4" w:space="0" w:color="000000"/>
              <w:right w:val="single" w:sz="4" w:space="0" w:color="000000"/>
            </w:tcBorders>
          </w:tcPr>
          <w:p w:rsidR="009C679B" w:rsidRPr="00283C65" w:rsidRDefault="009C679B">
            <w:pPr>
              <w:pStyle w:val="TableParagraph"/>
              <w:rPr>
                <w:sz w:val="19"/>
                <w:szCs w:val="19"/>
              </w:rPr>
            </w:pPr>
          </w:p>
          <w:p w:rsidR="009C679B" w:rsidRPr="00283C65" w:rsidRDefault="009C679B">
            <w:pPr>
              <w:pStyle w:val="TableParagraph"/>
              <w:rPr>
                <w:sz w:val="19"/>
                <w:szCs w:val="19"/>
              </w:rPr>
            </w:pPr>
          </w:p>
          <w:p w:rsidR="009C679B" w:rsidRPr="00283C65" w:rsidRDefault="009C679B">
            <w:pPr>
              <w:pStyle w:val="TableParagraph"/>
              <w:spacing w:before="5"/>
              <w:rPr>
                <w:sz w:val="19"/>
                <w:szCs w:val="19"/>
              </w:rPr>
            </w:pPr>
          </w:p>
          <w:p w:rsidR="00C43D6F" w:rsidRDefault="00C43D6F">
            <w:pPr>
              <w:pStyle w:val="TableParagraph"/>
              <w:ind w:left="227"/>
              <w:rPr>
                <w:b/>
                <w:sz w:val="19"/>
                <w:szCs w:val="19"/>
              </w:rPr>
            </w:pPr>
          </w:p>
          <w:p w:rsidR="009C679B" w:rsidRPr="00283C65" w:rsidRDefault="009C679B" w:rsidP="00C43D6F">
            <w:pPr>
              <w:pStyle w:val="TableParagraph"/>
              <w:jc w:val="center"/>
              <w:rPr>
                <w:b/>
                <w:sz w:val="19"/>
                <w:szCs w:val="19"/>
              </w:rPr>
            </w:pPr>
            <w:r w:rsidRPr="00283C65">
              <w:rPr>
                <w:b/>
                <w:sz w:val="19"/>
                <w:szCs w:val="19"/>
              </w:rPr>
              <w:t>Fare Differential</w:t>
            </w:r>
          </w:p>
        </w:tc>
        <w:tc>
          <w:tcPr>
            <w:tcW w:w="2520" w:type="dxa"/>
            <w:vMerge w:val="restart"/>
            <w:tcBorders>
              <w:left w:val="single" w:sz="4" w:space="0" w:color="000000"/>
              <w:bottom w:val="single" w:sz="4" w:space="0" w:color="000000"/>
              <w:right w:val="single" w:sz="4" w:space="0" w:color="000000"/>
            </w:tcBorders>
          </w:tcPr>
          <w:p w:rsidR="009C679B" w:rsidRPr="00283C65" w:rsidRDefault="009C679B">
            <w:pPr>
              <w:pStyle w:val="TableParagraph"/>
              <w:spacing w:before="10"/>
              <w:rPr>
                <w:sz w:val="19"/>
                <w:szCs w:val="19"/>
              </w:rPr>
            </w:pPr>
          </w:p>
          <w:p w:rsidR="009C679B" w:rsidRPr="00283C65" w:rsidRDefault="009C679B" w:rsidP="00662942">
            <w:pPr>
              <w:pStyle w:val="TableParagraph"/>
              <w:spacing w:line="256" w:lineRule="auto"/>
              <w:ind w:left="30" w:right="28" w:firstLine="3"/>
              <w:rPr>
                <w:sz w:val="19"/>
                <w:szCs w:val="19"/>
              </w:rPr>
            </w:pPr>
            <w:r w:rsidRPr="00283C65">
              <w:rPr>
                <w:sz w:val="19"/>
                <w:szCs w:val="19"/>
              </w:rPr>
              <w:t>JV partners are allowed on the ticket.</w:t>
            </w:r>
          </w:p>
        </w:tc>
        <w:tc>
          <w:tcPr>
            <w:tcW w:w="1620" w:type="dxa"/>
            <w:vMerge w:val="restart"/>
            <w:tcBorders>
              <w:left w:val="single" w:sz="4" w:space="0" w:color="000000"/>
              <w:bottom w:val="single" w:sz="4" w:space="0" w:color="000000"/>
              <w:right w:val="single" w:sz="4" w:space="0" w:color="000000"/>
            </w:tcBorders>
          </w:tcPr>
          <w:p w:rsidR="009C679B" w:rsidRPr="00283C65" w:rsidRDefault="009C679B">
            <w:pPr>
              <w:pStyle w:val="TableParagraph"/>
              <w:rPr>
                <w:sz w:val="19"/>
                <w:szCs w:val="19"/>
              </w:rPr>
            </w:pPr>
          </w:p>
          <w:p w:rsidR="009C679B" w:rsidRPr="00283C65" w:rsidRDefault="009C679B">
            <w:pPr>
              <w:pStyle w:val="TableParagraph"/>
              <w:rPr>
                <w:sz w:val="19"/>
                <w:szCs w:val="19"/>
              </w:rPr>
            </w:pPr>
          </w:p>
          <w:p w:rsidR="009C679B" w:rsidRPr="00283C65" w:rsidRDefault="009C679B">
            <w:pPr>
              <w:pStyle w:val="TableParagraph"/>
              <w:spacing w:before="2"/>
              <w:rPr>
                <w:sz w:val="19"/>
                <w:szCs w:val="19"/>
              </w:rPr>
            </w:pPr>
          </w:p>
          <w:p w:rsidR="009C679B" w:rsidRPr="00283C65" w:rsidRDefault="009C679B">
            <w:pPr>
              <w:pStyle w:val="TableParagraph"/>
              <w:ind w:left="191" w:right="187"/>
              <w:jc w:val="center"/>
              <w:rPr>
                <w:sz w:val="19"/>
                <w:szCs w:val="19"/>
              </w:rPr>
            </w:pPr>
            <w:r w:rsidRPr="00283C65">
              <w:rPr>
                <w:sz w:val="19"/>
                <w:szCs w:val="19"/>
              </w:rPr>
              <w:t>NA</w:t>
            </w:r>
          </w:p>
        </w:tc>
        <w:tc>
          <w:tcPr>
            <w:tcW w:w="1530" w:type="dxa"/>
            <w:tcBorders>
              <w:left w:val="single" w:sz="4" w:space="0" w:color="000000"/>
              <w:bottom w:val="single" w:sz="4" w:space="0" w:color="000000"/>
              <w:right w:val="single" w:sz="4" w:space="0" w:color="000000"/>
            </w:tcBorders>
          </w:tcPr>
          <w:p w:rsidR="009C679B" w:rsidRPr="00283C65" w:rsidRDefault="009C679B">
            <w:pPr>
              <w:pStyle w:val="TableParagraph"/>
              <w:spacing w:before="47"/>
              <w:ind w:left="434" w:right="429"/>
              <w:jc w:val="center"/>
              <w:rPr>
                <w:sz w:val="19"/>
                <w:szCs w:val="19"/>
              </w:rPr>
            </w:pPr>
            <w:r w:rsidRPr="00283C65">
              <w:rPr>
                <w:sz w:val="19"/>
                <w:szCs w:val="19"/>
              </w:rPr>
              <w:t>1-2</w:t>
            </w:r>
          </w:p>
        </w:tc>
        <w:tc>
          <w:tcPr>
            <w:tcW w:w="7740" w:type="dxa"/>
            <w:vMerge w:val="restart"/>
            <w:tcBorders>
              <w:left w:val="single" w:sz="4" w:space="0" w:color="000000"/>
              <w:bottom w:val="single" w:sz="4" w:space="0" w:color="000000"/>
            </w:tcBorders>
          </w:tcPr>
          <w:p w:rsidR="009C679B" w:rsidRPr="00283C65" w:rsidRDefault="009C679B">
            <w:pPr>
              <w:pStyle w:val="TableParagraph"/>
              <w:rPr>
                <w:sz w:val="19"/>
                <w:szCs w:val="19"/>
              </w:rPr>
            </w:pPr>
          </w:p>
          <w:p w:rsidR="009C679B" w:rsidRPr="00283C65" w:rsidRDefault="009C679B">
            <w:pPr>
              <w:pStyle w:val="TableParagraph"/>
              <w:spacing w:before="3"/>
              <w:rPr>
                <w:sz w:val="19"/>
                <w:szCs w:val="19"/>
              </w:rPr>
            </w:pPr>
          </w:p>
          <w:p w:rsidR="009C679B" w:rsidRPr="00283C65" w:rsidRDefault="009C679B">
            <w:pPr>
              <w:pStyle w:val="TableParagraph"/>
              <w:spacing w:before="13" w:line="256" w:lineRule="auto"/>
              <w:ind w:left="28" w:right="219"/>
              <w:rPr>
                <w:sz w:val="19"/>
                <w:szCs w:val="19"/>
              </w:rPr>
            </w:pPr>
            <w:r w:rsidRPr="00283C65">
              <w:rPr>
                <w:sz w:val="19"/>
                <w:szCs w:val="19"/>
              </w:rPr>
              <w:t>No overbooking. Check fare rules for applicable upgrade class(es). Booking class must be available for AP waiver, no inventory conversions permitted.</w:t>
            </w:r>
          </w:p>
        </w:tc>
      </w:tr>
      <w:tr w:rsidR="009C679B" w:rsidTr="00713CB1">
        <w:trPr>
          <w:trHeight w:val="220"/>
        </w:trPr>
        <w:tc>
          <w:tcPr>
            <w:tcW w:w="1548" w:type="dxa"/>
            <w:vMerge/>
            <w:shd w:val="clear" w:color="auto" w:fill="0092B1"/>
          </w:tcPr>
          <w:p w:rsidR="009C679B" w:rsidRDefault="009C679B"/>
        </w:tc>
        <w:tc>
          <w:tcPr>
            <w:tcW w:w="2401" w:type="dxa"/>
            <w:tcBorders>
              <w:top w:val="single" w:sz="4" w:space="0" w:color="000000"/>
              <w:bottom w:val="single" w:sz="4" w:space="0" w:color="000000"/>
              <w:right w:val="single" w:sz="4" w:space="0" w:color="000000"/>
            </w:tcBorders>
            <w:shd w:val="clear" w:color="auto" w:fill="D9D9D9"/>
          </w:tcPr>
          <w:p w:rsidR="009C679B" w:rsidRDefault="009C679B">
            <w:pPr>
              <w:pStyle w:val="TableParagraph"/>
              <w:spacing w:before="8"/>
              <w:ind w:left="25"/>
              <w:rPr>
                <w:sz w:val="19"/>
              </w:rPr>
            </w:pPr>
            <w:r>
              <w:rPr>
                <w:sz w:val="19"/>
              </w:rPr>
              <w:t>AP -  7 day</w:t>
            </w:r>
          </w:p>
        </w:tc>
        <w:tc>
          <w:tcPr>
            <w:tcW w:w="2700" w:type="dxa"/>
            <w:vMerge/>
            <w:tcBorders>
              <w:right w:val="single" w:sz="4" w:space="0" w:color="000000"/>
            </w:tcBorders>
          </w:tcPr>
          <w:p w:rsidR="009C679B" w:rsidRPr="00283C65" w:rsidRDefault="009C679B">
            <w:pPr>
              <w:rPr>
                <w:sz w:val="19"/>
                <w:szCs w:val="19"/>
              </w:rPr>
            </w:pPr>
          </w:p>
        </w:tc>
        <w:tc>
          <w:tcPr>
            <w:tcW w:w="207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25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6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530" w:type="dxa"/>
            <w:tcBorders>
              <w:top w:val="single" w:sz="4" w:space="0" w:color="000000"/>
              <w:left w:val="single" w:sz="4" w:space="0" w:color="000000"/>
              <w:bottom w:val="single" w:sz="4" w:space="0" w:color="000000"/>
              <w:right w:val="single" w:sz="4" w:space="0" w:color="000000"/>
            </w:tcBorders>
          </w:tcPr>
          <w:p w:rsidR="009C679B" w:rsidRPr="00283C65" w:rsidRDefault="009C679B">
            <w:pPr>
              <w:pStyle w:val="TableParagraph"/>
              <w:spacing w:before="17"/>
              <w:ind w:left="434" w:right="429"/>
              <w:jc w:val="center"/>
              <w:rPr>
                <w:sz w:val="19"/>
                <w:szCs w:val="19"/>
              </w:rPr>
            </w:pPr>
            <w:r w:rsidRPr="00283C65">
              <w:rPr>
                <w:sz w:val="19"/>
                <w:szCs w:val="19"/>
              </w:rPr>
              <w:t>3-6</w:t>
            </w:r>
          </w:p>
        </w:tc>
        <w:tc>
          <w:tcPr>
            <w:tcW w:w="7740" w:type="dxa"/>
            <w:vMerge/>
            <w:tcBorders>
              <w:top w:val="nil"/>
              <w:left w:val="single" w:sz="4" w:space="0" w:color="000000"/>
              <w:bottom w:val="single" w:sz="4" w:space="0" w:color="000000"/>
            </w:tcBorders>
          </w:tcPr>
          <w:p w:rsidR="009C679B" w:rsidRPr="00283C65" w:rsidRDefault="009C679B">
            <w:pPr>
              <w:rPr>
                <w:sz w:val="19"/>
                <w:szCs w:val="19"/>
              </w:rPr>
            </w:pPr>
          </w:p>
        </w:tc>
      </w:tr>
      <w:tr w:rsidR="009C679B" w:rsidTr="00713CB1">
        <w:trPr>
          <w:trHeight w:val="220"/>
        </w:trPr>
        <w:tc>
          <w:tcPr>
            <w:tcW w:w="1548" w:type="dxa"/>
            <w:vMerge/>
            <w:shd w:val="clear" w:color="auto" w:fill="0092B1"/>
          </w:tcPr>
          <w:p w:rsidR="009C679B" w:rsidRDefault="009C679B"/>
        </w:tc>
        <w:tc>
          <w:tcPr>
            <w:tcW w:w="2401" w:type="dxa"/>
            <w:tcBorders>
              <w:top w:val="single" w:sz="4" w:space="0" w:color="000000"/>
              <w:bottom w:val="single" w:sz="4" w:space="0" w:color="000000"/>
              <w:right w:val="single" w:sz="4" w:space="0" w:color="000000"/>
            </w:tcBorders>
            <w:shd w:val="clear" w:color="auto" w:fill="D9D9D9"/>
          </w:tcPr>
          <w:p w:rsidR="009C679B" w:rsidRDefault="009C679B">
            <w:pPr>
              <w:pStyle w:val="TableParagraph"/>
              <w:spacing w:before="8"/>
              <w:ind w:left="25"/>
              <w:rPr>
                <w:sz w:val="19"/>
              </w:rPr>
            </w:pPr>
            <w:r>
              <w:rPr>
                <w:sz w:val="19"/>
              </w:rPr>
              <w:t>AP -  10 day</w:t>
            </w:r>
          </w:p>
        </w:tc>
        <w:tc>
          <w:tcPr>
            <w:tcW w:w="2700" w:type="dxa"/>
            <w:vMerge/>
            <w:tcBorders>
              <w:right w:val="single" w:sz="4" w:space="0" w:color="000000"/>
            </w:tcBorders>
          </w:tcPr>
          <w:p w:rsidR="009C679B" w:rsidRPr="00283C65" w:rsidRDefault="009C679B">
            <w:pPr>
              <w:rPr>
                <w:sz w:val="19"/>
                <w:szCs w:val="19"/>
              </w:rPr>
            </w:pPr>
          </w:p>
        </w:tc>
        <w:tc>
          <w:tcPr>
            <w:tcW w:w="207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25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6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530" w:type="dxa"/>
            <w:tcBorders>
              <w:top w:val="single" w:sz="4" w:space="0" w:color="000000"/>
              <w:left w:val="single" w:sz="4" w:space="0" w:color="000000"/>
              <w:bottom w:val="single" w:sz="4" w:space="0" w:color="000000"/>
              <w:right w:val="single" w:sz="4" w:space="0" w:color="000000"/>
            </w:tcBorders>
          </w:tcPr>
          <w:p w:rsidR="009C679B" w:rsidRPr="00283C65" w:rsidRDefault="009C679B">
            <w:pPr>
              <w:pStyle w:val="TableParagraph"/>
              <w:spacing w:before="17"/>
              <w:ind w:left="434" w:right="429"/>
              <w:jc w:val="center"/>
              <w:rPr>
                <w:sz w:val="19"/>
                <w:szCs w:val="19"/>
              </w:rPr>
            </w:pPr>
            <w:r w:rsidRPr="00283C65">
              <w:rPr>
                <w:sz w:val="19"/>
                <w:szCs w:val="19"/>
              </w:rPr>
              <w:t>7-9</w:t>
            </w:r>
          </w:p>
        </w:tc>
        <w:tc>
          <w:tcPr>
            <w:tcW w:w="7740" w:type="dxa"/>
            <w:vMerge/>
            <w:tcBorders>
              <w:top w:val="nil"/>
              <w:left w:val="single" w:sz="4" w:space="0" w:color="000000"/>
              <w:bottom w:val="single" w:sz="4" w:space="0" w:color="000000"/>
            </w:tcBorders>
          </w:tcPr>
          <w:p w:rsidR="009C679B" w:rsidRPr="00283C65" w:rsidRDefault="009C679B">
            <w:pPr>
              <w:rPr>
                <w:sz w:val="19"/>
                <w:szCs w:val="19"/>
              </w:rPr>
            </w:pPr>
          </w:p>
        </w:tc>
      </w:tr>
      <w:tr w:rsidR="009C679B" w:rsidTr="00713CB1">
        <w:trPr>
          <w:trHeight w:val="220"/>
        </w:trPr>
        <w:tc>
          <w:tcPr>
            <w:tcW w:w="1548" w:type="dxa"/>
            <w:vMerge/>
            <w:shd w:val="clear" w:color="auto" w:fill="0092B1"/>
          </w:tcPr>
          <w:p w:rsidR="009C679B" w:rsidRDefault="009C679B"/>
        </w:tc>
        <w:tc>
          <w:tcPr>
            <w:tcW w:w="2401" w:type="dxa"/>
            <w:tcBorders>
              <w:top w:val="single" w:sz="4" w:space="0" w:color="000000"/>
              <w:bottom w:val="single" w:sz="4" w:space="0" w:color="000000"/>
              <w:right w:val="single" w:sz="4" w:space="0" w:color="000000"/>
            </w:tcBorders>
            <w:shd w:val="clear" w:color="auto" w:fill="D9D9D9"/>
          </w:tcPr>
          <w:p w:rsidR="009C679B" w:rsidRDefault="009C679B">
            <w:pPr>
              <w:pStyle w:val="TableParagraph"/>
              <w:spacing w:before="8"/>
              <w:ind w:left="25"/>
              <w:rPr>
                <w:sz w:val="19"/>
              </w:rPr>
            </w:pPr>
            <w:r>
              <w:rPr>
                <w:sz w:val="19"/>
              </w:rPr>
              <w:t>AP -  14 day</w:t>
            </w:r>
          </w:p>
        </w:tc>
        <w:tc>
          <w:tcPr>
            <w:tcW w:w="2700" w:type="dxa"/>
            <w:vMerge/>
            <w:tcBorders>
              <w:right w:val="single" w:sz="4" w:space="0" w:color="000000"/>
            </w:tcBorders>
          </w:tcPr>
          <w:p w:rsidR="009C679B" w:rsidRPr="00283C65" w:rsidRDefault="009C679B">
            <w:pPr>
              <w:rPr>
                <w:sz w:val="19"/>
                <w:szCs w:val="19"/>
              </w:rPr>
            </w:pPr>
          </w:p>
        </w:tc>
        <w:tc>
          <w:tcPr>
            <w:tcW w:w="207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25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6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530" w:type="dxa"/>
            <w:tcBorders>
              <w:top w:val="single" w:sz="4" w:space="0" w:color="000000"/>
              <w:left w:val="single" w:sz="4" w:space="0" w:color="000000"/>
              <w:bottom w:val="single" w:sz="4" w:space="0" w:color="000000"/>
              <w:right w:val="single" w:sz="4" w:space="0" w:color="000000"/>
            </w:tcBorders>
          </w:tcPr>
          <w:p w:rsidR="009C679B" w:rsidRPr="00283C65" w:rsidRDefault="009C679B">
            <w:pPr>
              <w:pStyle w:val="TableParagraph"/>
              <w:spacing w:before="17"/>
              <w:ind w:left="434" w:right="429"/>
              <w:jc w:val="center"/>
              <w:rPr>
                <w:sz w:val="19"/>
                <w:szCs w:val="19"/>
              </w:rPr>
            </w:pPr>
            <w:r w:rsidRPr="00283C65">
              <w:rPr>
                <w:sz w:val="19"/>
                <w:szCs w:val="19"/>
              </w:rPr>
              <w:t>10-13</w:t>
            </w:r>
          </w:p>
        </w:tc>
        <w:tc>
          <w:tcPr>
            <w:tcW w:w="7740" w:type="dxa"/>
            <w:vMerge/>
            <w:tcBorders>
              <w:top w:val="nil"/>
              <w:left w:val="single" w:sz="4" w:space="0" w:color="000000"/>
              <w:bottom w:val="single" w:sz="4" w:space="0" w:color="000000"/>
            </w:tcBorders>
          </w:tcPr>
          <w:p w:rsidR="009C679B" w:rsidRPr="00283C65" w:rsidRDefault="009C679B">
            <w:pPr>
              <w:rPr>
                <w:sz w:val="19"/>
                <w:szCs w:val="19"/>
              </w:rPr>
            </w:pPr>
          </w:p>
        </w:tc>
      </w:tr>
      <w:tr w:rsidR="009C679B" w:rsidTr="00713CB1">
        <w:trPr>
          <w:trHeight w:val="220"/>
        </w:trPr>
        <w:tc>
          <w:tcPr>
            <w:tcW w:w="1548" w:type="dxa"/>
            <w:vMerge/>
            <w:shd w:val="clear" w:color="auto" w:fill="0092B1"/>
          </w:tcPr>
          <w:p w:rsidR="009C679B" w:rsidRDefault="009C679B"/>
        </w:tc>
        <w:tc>
          <w:tcPr>
            <w:tcW w:w="2401" w:type="dxa"/>
            <w:tcBorders>
              <w:top w:val="single" w:sz="4" w:space="0" w:color="000000"/>
              <w:bottom w:val="single" w:sz="4" w:space="0" w:color="000000"/>
              <w:right w:val="single" w:sz="4" w:space="0" w:color="000000"/>
            </w:tcBorders>
            <w:shd w:val="clear" w:color="auto" w:fill="D9D9D9"/>
          </w:tcPr>
          <w:p w:rsidR="009C679B" w:rsidRDefault="009C679B">
            <w:pPr>
              <w:pStyle w:val="TableParagraph"/>
              <w:spacing w:before="8"/>
              <w:ind w:left="25"/>
              <w:rPr>
                <w:sz w:val="19"/>
              </w:rPr>
            </w:pPr>
            <w:r>
              <w:rPr>
                <w:sz w:val="19"/>
              </w:rPr>
              <w:t>AP -  21 day</w:t>
            </w:r>
          </w:p>
        </w:tc>
        <w:tc>
          <w:tcPr>
            <w:tcW w:w="2700" w:type="dxa"/>
            <w:vMerge/>
            <w:tcBorders>
              <w:right w:val="single" w:sz="4" w:space="0" w:color="000000"/>
            </w:tcBorders>
          </w:tcPr>
          <w:p w:rsidR="009C679B" w:rsidRPr="00283C65" w:rsidRDefault="009C679B">
            <w:pPr>
              <w:rPr>
                <w:sz w:val="19"/>
                <w:szCs w:val="19"/>
              </w:rPr>
            </w:pPr>
          </w:p>
        </w:tc>
        <w:tc>
          <w:tcPr>
            <w:tcW w:w="207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25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6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530" w:type="dxa"/>
            <w:tcBorders>
              <w:top w:val="single" w:sz="4" w:space="0" w:color="000000"/>
              <w:left w:val="single" w:sz="4" w:space="0" w:color="000000"/>
              <w:bottom w:val="single" w:sz="4" w:space="0" w:color="000000"/>
              <w:right w:val="single" w:sz="4" w:space="0" w:color="000000"/>
            </w:tcBorders>
          </w:tcPr>
          <w:p w:rsidR="009C679B" w:rsidRPr="00283C65" w:rsidRDefault="009C679B">
            <w:pPr>
              <w:pStyle w:val="TableParagraph"/>
              <w:spacing w:before="17"/>
              <w:ind w:left="434" w:right="429"/>
              <w:jc w:val="center"/>
              <w:rPr>
                <w:sz w:val="19"/>
                <w:szCs w:val="19"/>
              </w:rPr>
            </w:pPr>
            <w:r w:rsidRPr="00283C65">
              <w:rPr>
                <w:sz w:val="19"/>
                <w:szCs w:val="19"/>
              </w:rPr>
              <w:t>14-20</w:t>
            </w:r>
          </w:p>
        </w:tc>
        <w:tc>
          <w:tcPr>
            <w:tcW w:w="7740" w:type="dxa"/>
            <w:vMerge/>
            <w:tcBorders>
              <w:top w:val="nil"/>
              <w:left w:val="single" w:sz="4" w:space="0" w:color="000000"/>
              <w:bottom w:val="single" w:sz="4" w:space="0" w:color="000000"/>
            </w:tcBorders>
          </w:tcPr>
          <w:p w:rsidR="009C679B" w:rsidRPr="00283C65" w:rsidRDefault="009C679B">
            <w:pPr>
              <w:rPr>
                <w:sz w:val="19"/>
                <w:szCs w:val="19"/>
              </w:rPr>
            </w:pPr>
          </w:p>
        </w:tc>
      </w:tr>
      <w:tr w:rsidR="009C679B" w:rsidTr="002C2053">
        <w:trPr>
          <w:trHeight w:val="438"/>
        </w:trPr>
        <w:tc>
          <w:tcPr>
            <w:tcW w:w="1548" w:type="dxa"/>
            <w:vMerge/>
            <w:shd w:val="clear" w:color="auto" w:fill="0092B1"/>
          </w:tcPr>
          <w:p w:rsidR="009C679B" w:rsidRDefault="009C679B"/>
        </w:tc>
        <w:tc>
          <w:tcPr>
            <w:tcW w:w="2401" w:type="dxa"/>
            <w:tcBorders>
              <w:top w:val="single" w:sz="4" w:space="0" w:color="000000"/>
              <w:bottom w:val="single" w:sz="4" w:space="0" w:color="000000"/>
              <w:right w:val="single" w:sz="4" w:space="0" w:color="000000"/>
            </w:tcBorders>
            <w:shd w:val="clear" w:color="auto" w:fill="D9D9D9"/>
          </w:tcPr>
          <w:p w:rsidR="009C679B" w:rsidRDefault="009C679B">
            <w:pPr>
              <w:pStyle w:val="TableParagraph"/>
              <w:spacing w:before="8"/>
              <w:ind w:left="25"/>
              <w:rPr>
                <w:sz w:val="19"/>
              </w:rPr>
            </w:pPr>
            <w:r>
              <w:rPr>
                <w:sz w:val="19"/>
              </w:rPr>
              <w:t>AP -  30 day</w:t>
            </w:r>
          </w:p>
        </w:tc>
        <w:tc>
          <w:tcPr>
            <w:tcW w:w="2700" w:type="dxa"/>
            <w:vMerge/>
            <w:tcBorders>
              <w:bottom w:val="single" w:sz="4" w:space="0" w:color="000000"/>
              <w:right w:val="single" w:sz="4" w:space="0" w:color="000000"/>
            </w:tcBorders>
          </w:tcPr>
          <w:p w:rsidR="009C679B" w:rsidRPr="00283C65" w:rsidRDefault="009C679B">
            <w:pPr>
              <w:rPr>
                <w:sz w:val="19"/>
                <w:szCs w:val="19"/>
              </w:rPr>
            </w:pPr>
          </w:p>
        </w:tc>
        <w:tc>
          <w:tcPr>
            <w:tcW w:w="207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25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620" w:type="dxa"/>
            <w:vMerge/>
            <w:tcBorders>
              <w:top w:val="nil"/>
              <w:left w:val="single" w:sz="4" w:space="0" w:color="000000"/>
              <w:bottom w:val="single" w:sz="4" w:space="0" w:color="000000"/>
              <w:right w:val="single" w:sz="4" w:space="0" w:color="000000"/>
            </w:tcBorders>
          </w:tcPr>
          <w:p w:rsidR="009C679B" w:rsidRPr="00283C65" w:rsidRDefault="009C679B">
            <w:pPr>
              <w:rPr>
                <w:sz w:val="19"/>
                <w:szCs w:val="19"/>
              </w:rPr>
            </w:pPr>
          </w:p>
        </w:tc>
        <w:tc>
          <w:tcPr>
            <w:tcW w:w="1530" w:type="dxa"/>
            <w:tcBorders>
              <w:top w:val="single" w:sz="4" w:space="0" w:color="000000"/>
              <w:left w:val="single" w:sz="4" w:space="0" w:color="000000"/>
              <w:bottom w:val="single" w:sz="4" w:space="0" w:color="000000"/>
              <w:right w:val="single" w:sz="4" w:space="0" w:color="000000"/>
            </w:tcBorders>
          </w:tcPr>
          <w:p w:rsidR="009C679B" w:rsidRPr="00283C65" w:rsidRDefault="009C679B">
            <w:pPr>
              <w:pStyle w:val="TableParagraph"/>
              <w:spacing w:before="17"/>
              <w:ind w:left="434" w:right="429"/>
              <w:jc w:val="center"/>
              <w:rPr>
                <w:sz w:val="19"/>
                <w:szCs w:val="19"/>
              </w:rPr>
            </w:pPr>
            <w:r w:rsidRPr="00283C65">
              <w:rPr>
                <w:sz w:val="19"/>
                <w:szCs w:val="19"/>
              </w:rPr>
              <w:t>21-29</w:t>
            </w:r>
          </w:p>
        </w:tc>
        <w:tc>
          <w:tcPr>
            <w:tcW w:w="7740" w:type="dxa"/>
            <w:vMerge/>
            <w:tcBorders>
              <w:top w:val="nil"/>
              <w:left w:val="single" w:sz="4" w:space="0" w:color="000000"/>
              <w:bottom w:val="single" w:sz="4" w:space="0" w:color="000000"/>
            </w:tcBorders>
          </w:tcPr>
          <w:p w:rsidR="009C679B" w:rsidRPr="00283C65" w:rsidRDefault="009C679B">
            <w:pPr>
              <w:rPr>
                <w:sz w:val="19"/>
                <w:szCs w:val="19"/>
              </w:rPr>
            </w:pPr>
          </w:p>
        </w:tc>
      </w:tr>
      <w:tr w:rsidR="009C679B" w:rsidTr="002C2053">
        <w:trPr>
          <w:trHeight w:val="1080"/>
        </w:trPr>
        <w:tc>
          <w:tcPr>
            <w:tcW w:w="1548" w:type="dxa"/>
            <w:vMerge w:val="restart"/>
            <w:tcBorders>
              <w:top w:val="nil"/>
            </w:tcBorders>
            <w:shd w:val="clear" w:color="auto" w:fill="A6A6A6" w:themeFill="background1" w:themeFillShade="A6"/>
          </w:tcPr>
          <w:p w:rsidR="002C2053" w:rsidRDefault="002C2053" w:rsidP="005A7D14">
            <w:pPr>
              <w:pStyle w:val="TableParagraph"/>
              <w:jc w:val="center"/>
            </w:pPr>
          </w:p>
          <w:p w:rsidR="009C679B" w:rsidRPr="00713CB1" w:rsidRDefault="009C679B" w:rsidP="005A7D14">
            <w:pPr>
              <w:pStyle w:val="TableParagraph"/>
              <w:jc w:val="center"/>
            </w:pPr>
            <w:r w:rsidRPr="00713CB1">
              <w:t>Ticketing waivers</w:t>
            </w:r>
          </w:p>
        </w:tc>
        <w:tc>
          <w:tcPr>
            <w:tcW w:w="2401" w:type="dxa"/>
            <w:tcBorders>
              <w:top w:val="single" w:sz="4" w:space="0" w:color="000000"/>
              <w:right w:val="single" w:sz="4" w:space="0" w:color="000000"/>
            </w:tcBorders>
            <w:shd w:val="clear" w:color="auto" w:fill="D9D9D9" w:themeFill="background1" w:themeFillShade="D9"/>
          </w:tcPr>
          <w:p w:rsidR="009C679B" w:rsidRDefault="009C679B" w:rsidP="00CC3003">
            <w:pPr>
              <w:pStyle w:val="TableParagraph"/>
              <w:spacing w:before="7"/>
              <w:rPr>
                <w:sz w:val="24"/>
              </w:rPr>
            </w:pPr>
          </w:p>
          <w:p w:rsidR="009C679B" w:rsidRDefault="009C679B" w:rsidP="009C679B">
            <w:pPr>
              <w:pStyle w:val="TableParagraph"/>
              <w:spacing w:line="283" w:lineRule="auto"/>
              <w:ind w:left="24" w:right="464" w:hanging="1"/>
              <w:rPr>
                <w:sz w:val="19"/>
              </w:rPr>
            </w:pPr>
            <w:r>
              <w:rPr>
                <w:sz w:val="19"/>
              </w:rPr>
              <w:t>Extend Ticket Validity 30 days</w:t>
            </w:r>
          </w:p>
        </w:tc>
        <w:tc>
          <w:tcPr>
            <w:tcW w:w="2700" w:type="dxa"/>
            <w:tcBorders>
              <w:top w:val="single" w:sz="4" w:space="0" w:color="000000"/>
              <w:right w:val="single" w:sz="4" w:space="0" w:color="000000"/>
            </w:tcBorders>
          </w:tcPr>
          <w:p w:rsidR="009C679B" w:rsidRPr="00283C65" w:rsidRDefault="00283C65" w:rsidP="00CC3003">
            <w:pPr>
              <w:pStyle w:val="TableParagraph"/>
              <w:rPr>
                <w:sz w:val="19"/>
                <w:szCs w:val="19"/>
              </w:rPr>
            </w:pPr>
            <w:r w:rsidRPr="00283C65">
              <w:rPr>
                <w:sz w:val="19"/>
                <w:szCs w:val="19"/>
              </w:rPr>
              <w:t xml:space="preserve">Extends the life of a ticket for an </w:t>
            </w:r>
            <w:r w:rsidRPr="00283C65">
              <w:rPr>
                <w:sz w:val="19"/>
                <w:szCs w:val="19"/>
                <w:u w:val="single"/>
              </w:rPr>
              <w:t>additional</w:t>
            </w:r>
            <w:r w:rsidRPr="00283C65">
              <w:rPr>
                <w:sz w:val="19"/>
                <w:szCs w:val="19"/>
              </w:rPr>
              <w:t xml:space="preserve"> 30 days</w:t>
            </w:r>
          </w:p>
        </w:tc>
        <w:tc>
          <w:tcPr>
            <w:tcW w:w="207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spacing w:before="10"/>
              <w:rPr>
                <w:sz w:val="19"/>
                <w:szCs w:val="19"/>
              </w:rPr>
            </w:pPr>
          </w:p>
          <w:p w:rsidR="009C679B" w:rsidRPr="00283C65" w:rsidRDefault="009C679B" w:rsidP="00C43D6F">
            <w:pPr>
              <w:pStyle w:val="TableParagraph"/>
              <w:ind w:right="734"/>
              <w:jc w:val="right"/>
              <w:rPr>
                <w:b/>
                <w:sz w:val="19"/>
                <w:szCs w:val="19"/>
              </w:rPr>
            </w:pPr>
            <w:r w:rsidRPr="00283C65">
              <w:rPr>
                <w:b/>
                <w:sz w:val="19"/>
                <w:szCs w:val="19"/>
              </w:rPr>
              <w:t>$50</w:t>
            </w:r>
          </w:p>
        </w:tc>
        <w:tc>
          <w:tcPr>
            <w:tcW w:w="252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spacing w:before="7"/>
              <w:rPr>
                <w:sz w:val="19"/>
                <w:szCs w:val="19"/>
              </w:rPr>
            </w:pPr>
          </w:p>
          <w:p w:rsidR="009C679B" w:rsidRPr="00283C65" w:rsidRDefault="009C679B" w:rsidP="00CC3003">
            <w:pPr>
              <w:pStyle w:val="TableParagraph"/>
              <w:spacing w:before="1"/>
              <w:ind w:left="44" w:right="39"/>
              <w:jc w:val="center"/>
              <w:rPr>
                <w:sz w:val="19"/>
                <w:szCs w:val="19"/>
              </w:rPr>
            </w:pPr>
            <w:r w:rsidRPr="00283C65">
              <w:rPr>
                <w:sz w:val="19"/>
                <w:szCs w:val="19"/>
              </w:rPr>
              <w:t>Yes</w:t>
            </w:r>
          </w:p>
        </w:tc>
        <w:tc>
          <w:tcPr>
            <w:tcW w:w="162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spacing w:before="7"/>
              <w:rPr>
                <w:sz w:val="19"/>
                <w:szCs w:val="19"/>
              </w:rPr>
            </w:pPr>
          </w:p>
          <w:p w:rsidR="009C679B" w:rsidRPr="00283C65" w:rsidRDefault="009C679B" w:rsidP="00CC3003">
            <w:pPr>
              <w:pStyle w:val="TableParagraph"/>
              <w:spacing w:before="1"/>
              <w:ind w:left="191" w:right="187"/>
              <w:jc w:val="center"/>
              <w:rPr>
                <w:sz w:val="19"/>
                <w:szCs w:val="19"/>
              </w:rPr>
            </w:pPr>
            <w:r w:rsidRPr="00283C65">
              <w:rPr>
                <w:sz w:val="19"/>
                <w:szCs w:val="19"/>
              </w:rPr>
              <w:t>NA</w:t>
            </w:r>
          </w:p>
        </w:tc>
        <w:tc>
          <w:tcPr>
            <w:tcW w:w="153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C43D6F" w:rsidRDefault="00C43D6F" w:rsidP="00C43D6F">
            <w:pPr>
              <w:pStyle w:val="TableParagraph"/>
              <w:spacing w:before="1"/>
              <w:rPr>
                <w:sz w:val="19"/>
                <w:szCs w:val="19"/>
              </w:rPr>
            </w:pPr>
          </w:p>
          <w:p w:rsidR="009C679B" w:rsidRPr="00283C65" w:rsidRDefault="009C679B" w:rsidP="00C43D6F">
            <w:pPr>
              <w:pStyle w:val="TableParagraph"/>
              <w:spacing w:before="1"/>
              <w:jc w:val="center"/>
              <w:rPr>
                <w:sz w:val="19"/>
                <w:szCs w:val="19"/>
              </w:rPr>
            </w:pPr>
            <w:r w:rsidRPr="00283C65">
              <w:rPr>
                <w:sz w:val="19"/>
                <w:szCs w:val="19"/>
              </w:rPr>
              <w:t>Any</w:t>
            </w:r>
          </w:p>
        </w:tc>
        <w:tc>
          <w:tcPr>
            <w:tcW w:w="7740" w:type="dxa"/>
            <w:tcBorders>
              <w:top w:val="single" w:sz="4" w:space="0" w:color="000000"/>
              <w:lef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spacing w:before="10"/>
              <w:rPr>
                <w:sz w:val="19"/>
                <w:szCs w:val="19"/>
              </w:rPr>
            </w:pPr>
          </w:p>
          <w:p w:rsidR="009C679B" w:rsidRPr="00283C65" w:rsidRDefault="009C679B" w:rsidP="00CC3003">
            <w:pPr>
              <w:pStyle w:val="TableParagraph"/>
              <w:ind w:left="28"/>
              <w:rPr>
                <w:b/>
                <w:sz w:val="19"/>
                <w:szCs w:val="19"/>
              </w:rPr>
            </w:pPr>
            <w:r w:rsidRPr="00283C65">
              <w:rPr>
                <w:sz w:val="19"/>
                <w:szCs w:val="19"/>
              </w:rPr>
              <w:t xml:space="preserve">Ticket must be live and totally unused. </w:t>
            </w:r>
            <w:r w:rsidRPr="00283C65">
              <w:rPr>
                <w:b/>
                <w:sz w:val="19"/>
                <w:szCs w:val="19"/>
              </w:rPr>
              <w:t>Reissue/penalty fee applies.</w:t>
            </w:r>
          </w:p>
        </w:tc>
      </w:tr>
      <w:tr w:rsidR="009C679B" w:rsidTr="002C2053">
        <w:trPr>
          <w:trHeight w:val="1080"/>
        </w:trPr>
        <w:tc>
          <w:tcPr>
            <w:tcW w:w="1548" w:type="dxa"/>
            <w:vMerge/>
            <w:shd w:val="clear" w:color="auto" w:fill="A6A6A6" w:themeFill="background1" w:themeFillShade="A6"/>
          </w:tcPr>
          <w:p w:rsidR="009C679B" w:rsidRPr="005E2E12" w:rsidRDefault="009C679B" w:rsidP="005A7D14">
            <w:pPr>
              <w:pStyle w:val="TableParagraph"/>
              <w:jc w:val="center"/>
              <w:rPr>
                <w:color w:val="FFFFFF"/>
              </w:rPr>
            </w:pPr>
          </w:p>
        </w:tc>
        <w:tc>
          <w:tcPr>
            <w:tcW w:w="2401" w:type="dxa"/>
            <w:tcBorders>
              <w:top w:val="single" w:sz="12" w:space="0" w:color="000000"/>
              <w:right w:val="single" w:sz="4" w:space="0" w:color="000000"/>
            </w:tcBorders>
            <w:shd w:val="clear" w:color="auto" w:fill="D9D9D9" w:themeFill="background1" w:themeFillShade="D9"/>
          </w:tcPr>
          <w:p w:rsidR="009C679B" w:rsidRDefault="009C679B" w:rsidP="00CC3003">
            <w:pPr>
              <w:pStyle w:val="TableParagraph"/>
            </w:pPr>
          </w:p>
          <w:p w:rsidR="009C679B" w:rsidRDefault="009C679B" w:rsidP="009C679B">
            <w:pPr>
              <w:pStyle w:val="TableParagraph"/>
              <w:spacing w:before="157" w:line="283" w:lineRule="auto"/>
              <w:ind w:left="24" w:right="180" w:firstLine="1"/>
              <w:rPr>
                <w:sz w:val="19"/>
              </w:rPr>
            </w:pPr>
            <w:r>
              <w:rPr>
                <w:sz w:val="19"/>
              </w:rPr>
              <w:t>Missed Ticketing/ Ticketing Time Limit</w:t>
            </w:r>
          </w:p>
        </w:tc>
        <w:tc>
          <w:tcPr>
            <w:tcW w:w="2700" w:type="dxa"/>
            <w:tcBorders>
              <w:top w:val="single" w:sz="4" w:space="0" w:color="000000"/>
              <w:right w:val="single" w:sz="4" w:space="0" w:color="000000"/>
            </w:tcBorders>
          </w:tcPr>
          <w:p w:rsidR="009C679B" w:rsidRPr="00283C65" w:rsidRDefault="00283C65" w:rsidP="00283C65">
            <w:pPr>
              <w:pStyle w:val="TableParagraph"/>
              <w:rPr>
                <w:sz w:val="19"/>
                <w:szCs w:val="19"/>
              </w:rPr>
            </w:pPr>
            <w:r w:rsidRPr="00283C65">
              <w:rPr>
                <w:sz w:val="19"/>
                <w:szCs w:val="19"/>
              </w:rPr>
              <w:t xml:space="preserve">Extends the reservation for an </w:t>
            </w:r>
            <w:r w:rsidRPr="00283C65">
              <w:rPr>
                <w:sz w:val="19"/>
                <w:szCs w:val="19"/>
                <w:u w:val="single"/>
              </w:rPr>
              <w:t>additional</w:t>
            </w:r>
            <w:r w:rsidRPr="00283C65">
              <w:rPr>
                <w:sz w:val="19"/>
                <w:szCs w:val="19"/>
              </w:rPr>
              <w:t xml:space="preserve"> 24 hours (1 business day) after the automatic cancelation of the booking</w:t>
            </w:r>
          </w:p>
        </w:tc>
        <w:tc>
          <w:tcPr>
            <w:tcW w:w="207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C3003">
            <w:pPr>
              <w:pStyle w:val="TableParagraph"/>
              <w:spacing w:before="137"/>
              <w:ind w:right="686"/>
              <w:jc w:val="right"/>
              <w:rPr>
                <w:b/>
                <w:sz w:val="19"/>
                <w:szCs w:val="19"/>
              </w:rPr>
            </w:pPr>
            <w:r w:rsidRPr="00283C65">
              <w:rPr>
                <w:b/>
                <w:sz w:val="19"/>
                <w:szCs w:val="19"/>
              </w:rPr>
              <w:t>$200</w:t>
            </w:r>
          </w:p>
        </w:tc>
        <w:tc>
          <w:tcPr>
            <w:tcW w:w="2520" w:type="dxa"/>
            <w:tcBorders>
              <w:top w:val="single" w:sz="4" w:space="0" w:color="000000"/>
              <w:left w:val="single" w:sz="4" w:space="0" w:color="000000"/>
              <w:right w:val="single" w:sz="4" w:space="0" w:color="000000"/>
            </w:tcBorders>
          </w:tcPr>
          <w:p w:rsidR="009C679B" w:rsidRPr="00283C65" w:rsidRDefault="009C679B" w:rsidP="00CC3003">
            <w:pPr>
              <w:pStyle w:val="TableParagraph"/>
              <w:spacing w:before="3"/>
              <w:rPr>
                <w:sz w:val="19"/>
                <w:szCs w:val="19"/>
              </w:rPr>
            </w:pPr>
          </w:p>
          <w:p w:rsidR="009C679B" w:rsidRPr="00283C65" w:rsidRDefault="009C679B" w:rsidP="00662942">
            <w:pPr>
              <w:pStyle w:val="TableParagraph"/>
              <w:spacing w:line="256" w:lineRule="auto"/>
              <w:ind w:left="45" w:right="38"/>
              <w:jc w:val="center"/>
              <w:rPr>
                <w:sz w:val="19"/>
                <w:szCs w:val="19"/>
              </w:rPr>
            </w:pPr>
            <w:r w:rsidRPr="00283C65">
              <w:rPr>
                <w:sz w:val="19"/>
                <w:szCs w:val="19"/>
              </w:rPr>
              <w:t>JV partner are allowed on the ticket.</w:t>
            </w:r>
          </w:p>
        </w:tc>
        <w:tc>
          <w:tcPr>
            <w:tcW w:w="162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C3003">
            <w:pPr>
              <w:pStyle w:val="TableParagraph"/>
              <w:spacing w:before="134"/>
              <w:ind w:left="191" w:right="187"/>
              <w:jc w:val="center"/>
              <w:rPr>
                <w:sz w:val="19"/>
                <w:szCs w:val="19"/>
              </w:rPr>
            </w:pPr>
            <w:r w:rsidRPr="00283C65">
              <w:rPr>
                <w:sz w:val="19"/>
                <w:szCs w:val="19"/>
              </w:rPr>
              <w:t>NA</w:t>
            </w:r>
          </w:p>
        </w:tc>
        <w:tc>
          <w:tcPr>
            <w:tcW w:w="153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43D6F">
            <w:pPr>
              <w:pStyle w:val="TableParagraph"/>
              <w:spacing w:before="134"/>
              <w:jc w:val="center"/>
              <w:rPr>
                <w:sz w:val="19"/>
                <w:szCs w:val="19"/>
              </w:rPr>
            </w:pPr>
            <w:r w:rsidRPr="00283C65">
              <w:rPr>
                <w:sz w:val="19"/>
                <w:szCs w:val="19"/>
              </w:rPr>
              <w:t>Any</w:t>
            </w:r>
          </w:p>
        </w:tc>
        <w:tc>
          <w:tcPr>
            <w:tcW w:w="7740" w:type="dxa"/>
            <w:tcBorders>
              <w:top w:val="single" w:sz="4" w:space="0" w:color="000000"/>
              <w:left w:val="single" w:sz="4" w:space="0" w:color="000000"/>
            </w:tcBorders>
          </w:tcPr>
          <w:p w:rsidR="00F66C27" w:rsidRPr="00283C65" w:rsidRDefault="00F66C27" w:rsidP="00662942">
            <w:pPr>
              <w:pStyle w:val="Default"/>
              <w:rPr>
                <w:sz w:val="19"/>
                <w:szCs w:val="19"/>
              </w:rPr>
            </w:pPr>
          </w:p>
          <w:p w:rsidR="00662942" w:rsidRPr="00283C65" w:rsidRDefault="00662942" w:rsidP="00662942">
            <w:pPr>
              <w:pStyle w:val="Default"/>
              <w:rPr>
                <w:sz w:val="19"/>
                <w:szCs w:val="19"/>
              </w:rPr>
            </w:pPr>
            <w:r w:rsidRPr="00283C65">
              <w:rPr>
                <w:sz w:val="19"/>
                <w:szCs w:val="19"/>
              </w:rPr>
              <w:t xml:space="preserve">PNR must validate that the request is being made due to genuine error, fare must be stored and no changes have been made to the PNR. </w:t>
            </w:r>
            <w:r w:rsidRPr="00283C65">
              <w:rPr>
                <w:b/>
                <w:bCs/>
                <w:sz w:val="19"/>
                <w:szCs w:val="19"/>
              </w:rPr>
              <w:t>Charge only applies if extending beyond the standard 24-hour rule for a total of 48 hours. Must be a through fare. No broken or point to point fares.</w:t>
            </w:r>
          </w:p>
          <w:p w:rsidR="009C679B" w:rsidRPr="00283C65" w:rsidRDefault="009C679B" w:rsidP="00CC3003">
            <w:pPr>
              <w:rPr>
                <w:sz w:val="19"/>
                <w:szCs w:val="19"/>
              </w:rPr>
            </w:pPr>
          </w:p>
        </w:tc>
      </w:tr>
      <w:tr w:rsidR="00662942" w:rsidTr="002C2053">
        <w:trPr>
          <w:trHeight w:val="1080"/>
        </w:trPr>
        <w:tc>
          <w:tcPr>
            <w:tcW w:w="1548" w:type="dxa"/>
            <w:vMerge/>
            <w:shd w:val="clear" w:color="auto" w:fill="A6A6A6" w:themeFill="background1" w:themeFillShade="A6"/>
          </w:tcPr>
          <w:p w:rsidR="00662942" w:rsidRPr="005E2E12" w:rsidRDefault="00662942" w:rsidP="005A7D14">
            <w:pPr>
              <w:pStyle w:val="TableParagraph"/>
              <w:jc w:val="center"/>
              <w:rPr>
                <w:color w:val="FFFFFF"/>
              </w:rPr>
            </w:pPr>
          </w:p>
        </w:tc>
        <w:tc>
          <w:tcPr>
            <w:tcW w:w="2401" w:type="dxa"/>
            <w:tcBorders>
              <w:top w:val="single" w:sz="12" w:space="0" w:color="000000"/>
              <w:right w:val="single" w:sz="4" w:space="0" w:color="000000"/>
            </w:tcBorders>
            <w:shd w:val="clear" w:color="auto" w:fill="D9D9D9" w:themeFill="background1" w:themeFillShade="D9"/>
          </w:tcPr>
          <w:p w:rsidR="00662942" w:rsidRDefault="00662942" w:rsidP="00CC3003">
            <w:pPr>
              <w:pStyle w:val="TableParagraph"/>
            </w:pPr>
          </w:p>
          <w:p w:rsidR="00662942" w:rsidRDefault="00662942" w:rsidP="00662942">
            <w:pPr>
              <w:pStyle w:val="Default"/>
              <w:rPr>
                <w:sz w:val="19"/>
                <w:szCs w:val="19"/>
              </w:rPr>
            </w:pPr>
            <w:r>
              <w:rPr>
                <w:sz w:val="19"/>
                <w:szCs w:val="19"/>
              </w:rPr>
              <w:t>Suspended Tickets / Ticket Status Change</w:t>
            </w:r>
          </w:p>
          <w:p w:rsidR="00662942" w:rsidRDefault="00662942" w:rsidP="009C679B">
            <w:pPr>
              <w:pStyle w:val="TableParagraph"/>
              <w:spacing w:before="157" w:line="283" w:lineRule="auto"/>
              <w:ind w:left="24" w:right="180" w:firstLine="1"/>
              <w:rPr>
                <w:sz w:val="19"/>
              </w:rPr>
            </w:pPr>
          </w:p>
        </w:tc>
        <w:tc>
          <w:tcPr>
            <w:tcW w:w="2700" w:type="dxa"/>
            <w:tcBorders>
              <w:top w:val="single" w:sz="4" w:space="0" w:color="000000"/>
              <w:right w:val="single" w:sz="4" w:space="0" w:color="000000"/>
            </w:tcBorders>
          </w:tcPr>
          <w:p w:rsidR="00662942" w:rsidRPr="00283C65" w:rsidRDefault="00283C65" w:rsidP="00CC3003">
            <w:pPr>
              <w:pStyle w:val="TableParagraph"/>
              <w:rPr>
                <w:sz w:val="19"/>
                <w:szCs w:val="19"/>
              </w:rPr>
            </w:pPr>
            <w:r w:rsidRPr="00283C65">
              <w:rPr>
                <w:sz w:val="19"/>
                <w:szCs w:val="19"/>
              </w:rPr>
              <w:t>Reinstates zero value/suspended tickets</w:t>
            </w:r>
          </w:p>
        </w:tc>
        <w:tc>
          <w:tcPr>
            <w:tcW w:w="2070" w:type="dxa"/>
            <w:tcBorders>
              <w:top w:val="single" w:sz="4" w:space="0" w:color="000000"/>
              <w:left w:val="single" w:sz="4" w:space="0" w:color="000000"/>
              <w:right w:val="single" w:sz="4" w:space="0" w:color="000000"/>
            </w:tcBorders>
          </w:tcPr>
          <w:p w:rsidR="00662942" w:rsidRPr="00283C65" w:rsidRDefault="00662942" w:rsidP="00662942">
            <w:pPr>
              <w:pStyle w:val="Default"/>
              <w:rPr>
                <w:b/>
                <w:bCs/>
                <w:sz w:val="19"/>
                <w:szCs w:val="19"/>
              </w:rPr>
            </w:pPr>
          </w:p>
          <w:p w:rsidR="00C43D6F" w:rsidRDefault="00C43D6F" w:rsidP="00662942">
            <w:pPr>
              <w:pStyle w:val="Default"/>
              <w:rPr>
                <w:b/>
                <w:bCs/>
                <w:sz w:val="19"/>
                <w:szCs w:val="19"/>
              </w:rPr>
            </w:pPr>
          </w:p>
          <w:p w:rsidR="00662942" w:rsidRPr="00283C65" w:rsidRDefault="00662942" w:rsidP="00662942">
            <w:pPr>
              <w:pStyle w:val="Default"/>
              <w:rPr>
                <w:sz w:val="19"/>
                <w:szCs w:val="19"/>
              </w:rPr>
            </w:pPr>
            <w:r w:rsidRPr="00283C65">
              <w:rPr>
                <w:b/>
                <w:bCs/>
                <w:sz w:val="19"/>
                <w:szCs w:val="19"/>
              </w:rPr>
              <w:t>100 International</w:t>
            </w:r>
          </w:p>
        </w:tc>
        <w:tc>
          <w:tcPr>
            <w:tcW w:w="2520" w:type="dxa"/>
            <w:tcBorders>
              <w:top w:val="single" w:sz="4" w:space="0" w:color="000000"/>
              <w:left w:val="single" w:sz="4" w:space="0" w:color="000000"/>
              <w:right w:val="single" w:sz="4" w:space="0" w:color="000000"/>
            </w:tcBorders>
          </w:tcPr>
          <w:p w:rsidR="00662942" w:rsidRPr="00283C65" w:rsidRDefault="00662942" w:rsidP="00662942">
            <w:pPr>
              <w:pStyle w:val="Default"/>
              <w:rPr>
                <w:sz w:val="19"/>
                <w:szCs w:val="19"/>
              </w:rPr>
            </w:pPr>
          </w:p>
          <w:p w:rsidR="00662942" w:rsidRPr="00283C65" w:rsidRDefault="00662942" w:rsidP="00662942">
            <w:pPr>
              <w:pStyle w:val="Default"/>
              <w:rPr>
                <w:sz w:val="19"/>
                <w:szCs w:val="19"/>
              </w:rPr>
            </w:pPr>
            <w:r w:rsidRPr="00283C65">
              <w:rPr>
                <w:sz w:val="19"/>
                <w:szCs w:val="19"/>
              </w:rPr>
              <w:t xml:space="preserve">JV partners are allowed on the ticket. </w:t>
            </w:r>
          </w:p>
        </w:tc>
        <w:tc>
          <w:tcPr>
            <w:tcW w:w="1620" w:type="dxa"/>
            <w:tcBorders>
              <w:top w:val="single" w:sz="4" w:space="0" w:color="000000"/>
              <w:left w:val="single" w:sz="4" w:space="0" w:color="000000"/>
              <w:right w:val="single" w:sz="4" w:space="0" w:color="000000"/>
            </w:tcBorders>
          </w:tcPr>
          <w:p w:rsidR="00662942" w:rsidRPr="00283C65" w:rsidRDefault="00662942" w:rsidP="00662942">
            <w:pPr>
              <w:pStyle w:val="Default"/>
              <w:jc w:val="center"/>
              <w:rPr>
                <w:sz w:val="19"/>
                <w:szCs w:val="19"/>
              </w:rPr>
            </w:pPr>
          </w:p>
          <w:p w:rsidR="00662942" w:rsidRPr="00283C65" w:rsidRDefault="00662942" w:rsidP="00662942">
            <w:pPr>
              <w:pStyle w:val="Default"/>
              <w:jc w:val="center"/>
              <w:rPr>
                <w:sz w:val="19"/>
                <w:szCs w:val="19"/>
              </w:rPr>
            </w:pPr>
          </w:p>
          <w:p w:rsidR="00662942" w:rsidRPr="00283C65" w:rsidRDefault="00662942" w:rsidP="00662942">
            <w:pPr>
              <w:pStyle w:val="Default"/>
              <w:jc w:val="center"/>
              <w:rPr>
                <w:sz w:val="19"/>
                <w:szCs w:val="19"/>
              </w:rPr>
            </w:pPr>
            <w:r w:rsidRPr="00283C65">
              <w:rPr>
                <w:sz w:val="19"/>
                <w:szCs w:val="19"/>
              </w:rPr>
              <w:t>NA</w:t>
            </w:r>
          </w:p>
        </w:tc>
        <w:tc>
          <w:tcPr>
            <w:tcW w:w="1530" w:type="dxa"/>
            <w:tcBorders>
              <w:top w:val="single" w:sz="4" w:space="0" w:color="000000"/>
              <w:left w:val="single" w:sz="4" w:space="0" w:color="000000"/>
              <w:right w:val="single" w:sz="4" w:space="0" w:color="000000"/>
            </w:tcBorders>
          </w:tcPr>
          <w:p w:rsidR="00662942" w:rsidRPr="00283C65" w:rsidRDefault="00662942" w:rsidP="00662942">
            <w:pPr>
              <w:pStyle w:val="Default"/>
              <w:jc w:val="center"/>
              <w:rPr>
                <w:sz w:val="19"/>
                <w:szCs w:val="19"/>
              </w:rPr>
            </w:pPr>
          </w:p>
          <w:p w:rsidR="00662942" w:rsidRPr="00283C65" w:rsidRDefault="00662942" w:rsidP="00662942">
            <w:pPr>
              <w:pStyle w:val="Default"/>
              <w:jc w:val="center"/>
              <w:rPr>
                <w:sz w:val="19"/>
                <w:szCs w:val="19"/>
              </w:rPr>
            </w:pPr>
          </w:p>
          <w:p w:rsidR="00662942" w:rsidRPr="00283C65" w:rsidRDefault="00662942" w:rsidP="00662942">
            <w:pPr>
              <w:pStyle w:val="Default"/>
              <w:jc w:val="center"/>
              <w:rPr>
                <w:sz w:val="19"/>
                <w:szCs w:val="19"/>
              </w:rPr>
            </w:pPr>
            <w:r w:rsidRPr="00283C65">
              <w:rPr>
                <w:sz w:val="19"/>
                <w:szCs w:val="19"/>
              </w:rPr>
              <w:t>Any</w:t>
            </w:r>
          </w:p>
        </w:tc>
        <w:tc>
          <w:tcPr>
            <w:tcW w:w="7740" w:type="dxa"/>
            <w:tcBorders>
              <w:top w:val="single" w:sz="4" w:space="0" w:color="000000"/>
              <w:left w:val="single" w:sz="4" w:space="0" w:color="000000"/>
            </w:tcBorders>
          </w:tcPr>
          <w:p w:rsidR="00F66C27" w:rsidRPr="00283C65" w:rsidRDefault="00F66C27">
            <w:pPr>
              <w:pStyle w:val="Default"/>
              <w:rPr>
                <w:sz w:val="19"/>
                <w:szCs w:val="19"/>
              </w:rPr>
            </w:pPr>
          </w:p>
          <w:p w:rsidR="00662942" w:rsidRPr="00283C65" w:rsidRDefault="00662942">
            <w:pPr>
              <w:pStyle w:val="Default"/>
              <w:rPr>
                <w:sz w:val="19"/>
                <w:szCs w:val="19"/>
              </w:rPr>
            </w:pPr>
            <w:r w:rsidRPr="00283C65">
              <w:rPr>
                <w:sz w:val="19"/>
                <w:szCs w:val="19"/>
              </w:rPr>
              <w:t>Add/collects not covered. Suspended ticket is a PNR that is not cancelled prior to flight time. Ticket must still be valid at the time of the request. Must be a through fare. No broken or point to point fares.</w:t>
            </w:r>
          </w:p>
        </w:tc>
      </w:tr>
      <w:tr w:rsidR="009C679B" w:rsidTr="002C2053">
        <w:trPr>
          <w:trHeight w:val="1080"/>
        </w:trPr>
        <w:tc>
          <w:tcPr>
            <w:tcW w:w="1548" w:type="dxa"/>
            <w:vMerge/>
            <w:shd w:val="clear" w:color="auto" w:fill="A6A6A6" w:themeFill="background1" w:themeFillShade="A6"/>
          </w:tcPr>
          <w:p w:rsidR="009C679B" w:rsidRPr="005E2E12" w:rsidRDefault="009C679B" w:rsidP="005A7D14">
            <w:pPr>
              <w:pStyle w:val="TableParagraph"/>
              <w:jc w:val="center"/>
              <w:rPr>
                <w:color w:val="FFFFFF"/>
              </w:rPr>
            </w:pPr>
          </w:p>
        </w:tc>
        <w:tc>
          <w:tcPr>
            <w:tcW w:w="2401" w:type="dxa"/>
            <w:tcBorders>
              <w:top w:val="single" w:sz="12" w:space="0" w:color="000000"/>
              <w:right w:val="single" w:sz="4" w:space="0" w:color="000000"/>
            </w:tcBorders>
            <w:shd w:val="clear" w:color="auto" w:fill="D9D9D9" w:themeFill="background1" w:themeFillShade="D9"/>
          </w:tcPr>
          <w:p w:rsidR="009C679B" w:rsidRDefault="009C679B" w:rsidP="00CC3003">
            <w:pPr>
              <w:pStyle w:val="TableParagraph"/>
            </w:pPr>
          </w:p>
          <w:p w:rsidR="009C679B" w:rsidRDefault="009C679B" w:rsidP="00CC3003">
            <w:pPr>
              <w:pStyle w:val="TableParagraph"/>
              <w:spacing w:before="4"/>
              <w:rPr>
                <w:sz w:val="23"/>
              </w:rPr>
            </w:pPr>
          </w:p>
          <w:p w:rsidR="009C679B" w:rsidRDefault="009C679B" w:rsidP="00CC3003">
            <w:pPr>
              <w:pStyle w:val="TableParagraph"/>
              <w:ind w:left="24"/>
              <w:rPr>
                <w:sz w:val="19"/>
              </w:rPr>
            </w:pPr>
            <w:r>
              <w:rPr>
                <w:sz w:val="19"/>
              </w:rPr>
              <w:t>Time/ Stay</w:t>
            </w:r>
          </w:p>
        </w:tc>
        <w:tc>
          <w:tcPr>
            <w:tcW w:w="2700" w:type="dxa"/>
            <w:tcBorders>
              <w:top w:val="single" w:sz="4" w:space="0" w:color="000000"/>
              <w:right w:val="single" w:sz="4" w:space="0" w:color="000000"/>
            </w:tcBorders>
          </w:tcPr>
          <w:p w:rsidR="009C679B" w:rsidRPr="00283C65" w:rsidRDefault="00283C65" w:rsidP="00CC3003">
            <w:pPr>
              <w:pStyle w:val="TableParagraph"/>
              <w:rPr>
                <w:sz w:val="19"/>
                <w:szCs w:val="19"/>
              </w:rPr>
            </w:pPr>
            <w:r w:rsidRPr="00283C65">
              <w:rPr>
                <w:sz w:val="19"/>
                <w:szCs w:val="19"/>
              </w:rPr>
              <w:t>Waives min/max stay OR day of week/time of day of requirements</w:t>
            </w:r>
          </w:p>
        </w:tc>
        <w:tc>
          <w:tcPr>
            <w:tcW w:w="207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C3003">
            <w:pPr>
              <w:pStyle w:val="TableParagraph"/>
              <w:spacing w:before="119"/>
              <w:ind w:right="686"/>
              <w:jc w:val="right"/>
              <w:rPr>
                <w:b/>
                <w:sz w:val="19"/>
                <w:szCs w:val="19"/>
              </w:rPr>
            </w:pPr>
            <w:r w:rsidRPr="00283C65">
              <w:rPr>
                <w:b/>
                <w:sz w:val="19"/>
                <w:szCs w:val="19"/>
              </w:rPr>
              <w:t>$350</w:t>
            </w:r>
          </w:p>
        </w:tc>
        <w:tc>
          <w:tcPr>
            <w:tcW w:w="252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C3003">
            <w:pPr>
              <w:pStyle w:val="TableParagraph"/>
              <w:spacing w:before="117"/>
              <w:ind w:left="44" w:right="39"/>
              <w:jc w:val="center"/>
              <w:rPr>
                <w:sz w:val="19"/>
                <w:szCs w:val="19"/>
              </w:rPr>
            </w:pPr>
            <w:r w:rsidRPr="00283C65">
              <w:rPr>
                <w:sz w:val="19"/>
                <w:szCs w:val="19"/>
              </w:rPr>
              <w:t>Yes</w:t>
            </w:r>
          </w:p>
        </w:tc>
        <w:tc>
          <w:tcPr>
            <w:tcW w:w="162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C3003">
            <w:pPr>
              <w:pStyle w:val="TableParagraph"/>
              <w:spacing w:before="117"/>
              <w:ind w:left="191" w:right="187"/>
              <w:jc w:val="center"/>
              <w:rPr>
                <w:sz w:val="19"/>
                <w:szCs w:val="19"/>
              </w:rPr>
            </w:pPr>
            <w:r w:rsidRPr="00283C65">
              <w:rPr>
                <w:sz w:val="19"/>
                <w:szCs w:val="19"/>
              </w:rPr>
              <w:t>NA</w:t>
            </w:r>
          </w:p>
        </w:tc>
        <w:tc>
          <w:tcPr>
            <w:tcW w:w="1530" w:type="dxa"/>
            <w:tcBorders>
              <w:top w:val="single" w:sz="4" w:space="0" w:color="000000"/>
              <w:left w:val="single" w:sz="4" w:space="0" w:color="000000"/>
              <w:righ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rPr>
                <w:sz w:val="19"/>
                <w:szCs w:val="19"/>
              </w:rPr>
            </w:pPr>
          </w:p>
          <w:p w:rsidR="009C679B" w:rsidRPr="00283C65" w:rsidRDefault="009C679B" w:rsidP="00C43D6F">
            <w:pPr>
              <w:pStyle w:val="TableParagraph"/>
              <w:spacing w:before="117"/>
              <w:jc w:val="center"/>
              <w:rPr>
                <w:sz w:val="19"/>
                <w:szCs w:val="19"/>
              </w:rPr>
            </w:pPr>
            <w:r w:rsidRPr="00283C65">
              <w:rPr>
                <w:sz w:val="19"/>
                <w:szCs w:val="19"/>
              </w:rPr>
              <w:t>NA</w:t>
            </w:r>
          </w:p>
        </w:tc>
        <w:tc>
          <w:tcPr>
            <w:tcW w:w="7740" w:type="dxa"/>
            <w:tcBorders>
              <w:top w:val="single" w:sz="4" w:space="0" w:color="000000"/>
              <w:left w:val="single" w:sz="4" w:space="0" w:color="000000"/>
            </w:tcBorders>
          </w:tcPr>
          <w:p w:rsidR="009C679B" w:rsidRPr="00283C65" w:rsidRDefault="009C679B" w:rsidP="00CC3003">
            <w:pPr>
              <w:pStyle w:val="TableParagraph"/>
              <w:rPr>
                <w:sz w:val="19"/>
                <w:szCs w:val="19"/>
              </w:rPr>
            </w:pPr>
          </w:p>
          <w:p w:rsidR="009C679B" w:rsidRPr="00283C65" w:rsidRDefault="009C679B" w:rsidP="00CC3003">
            <w:pPr>
              <w:pStyle w:val="TableParagraph"/>
              <w:spacing w:line="256" w:lineRule="auto"/>
              <w:ind w:left="28" w:right="54"/>
              <w:rPr>
                <w:sz w:val="19"/>
                <w:szCs w:val="19"/>
              </w:rPr>
            </w:pPr>
            <w:r w:rsidRPr="00283C65">
              <w:rPr>
                <w:sz w:val="19"/>
                <w:szCs w:val="19"/>
              </w:rPr>
              <w:t>Waiver can only be provided on ticketed PNR. Waiver allowed only after the outbound flight(s) has been flown. Must be a through fare.  No broken fares.</w:t>
            </w:r>
          </w:p>
        </w:tc>
      </w:tr>
    </w:tbl>
    <w:p w:rsidR="00CC3003" w:rsidRDefault="00CC3003">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5C57D9" w:rsidRDefault="005C57D9">
      <w:pPr>
        <w:pStyle w:val="BodyText"/>
        <w:spacing w:before="7"/>
        <w:rPr>
          <w:sz w:val="11"/>
        </w:rPr>
      </w:pPr>
    </w:p>
    <w:p w:rsidR="00022931" w:rsidRDefault="007E3BAF">
      <w:pPr>
        <w:pStyle w:val="BodyText"/>
        <w:spacing w:before="7"/>
        <w:rPr>
          <w:sz w:val="11"/>
        </w:rPr>
      </w:pPr>
      <w:r>
        <w:rPr>
          <w:noProof/>
        </w:rPr>
        <mc:AlternateContent>
          <mc:Choice Requires="wps">
            <w:drawing>
              <wp:anchor distT="0" distB="0" distL="0" distR="0" simplePos="0" relativeHeight="1096" behindDoc="0" locked="0" layoutInCell="1" allowOverlap="1">
                <wp:simplePos x="0" y="0"/>
                <wp:positionH relativeFrom="page">
                  <wp:posOffset>697230</wp:posOffset>
                </wp:positionH>
                <wp:positionV relativeFrom="paragraph">
                  <wp:posOffset>113030</wp:posOffset>
                </wp:positionV>
                <wp:extent cx="13732510" cy="558165"/>
                <wp:effectExtent l="0" t="0" r="21590" b="1333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2510" cy="558165"/>
                        </a:xfrm>
                        <a:prstGeom prst="rect">
                          <a:avLst/>
                        </a:prstGeom>
                        <a:noFill/>
                        <a:ln w="5144">
                          <a:solidFill>
                            <a:srgbClr val="BBBBBB"/>
                          </a:solidFill>
                          <a:miter lim="800000"/>
                          <a:headEnd/>
                          <a:tailEnd/>
                        </a:ln>
                        <a:extLst>
                          <a:ext uri="{909E8E84-426E-40DD-AFC4-6F175D3DCCD1}">
                            <a14:hiddenFill xmlns:a14="http://schemas.microsoft.com/office/drawing/2010/main">
                              <a:solidFill>
                                <a:srgbClr val="FFFFFF"/>
                              </a:solidFill>
                            </a14:hiddenFill>
                          </a:ext>
                        </a:extLst>
                      </wps:spPr>
                      <wps:txbx>
                        <w:txbxContent>
                          <w:p w:rsidR="00AB6331" w:rsidRPr="005E2E12" w:rsidRDefault="00AB6331">
                            <w:pPr>
                              <w:pStyle w:val="BodyText"/>
                              <w:spacing w:before="36"/>
                              <w:ind w:left="73" w:right="146"/>
                              <w:rPr>
                                <w:sz w:val="14"/>
                                <w:szCs w:val="14"/>
                              </w:rPr>
                            </w:pPr>
                            <w:r w:rsidRPr="005E2E12">
                              <w:rPr>
                                <w:sz w:val="14"/>
                                <w:szCs w:val="14"/>
                              </w:rPr>
                              <w:t xml:space="preserve">All other fees, services, and products not in the Services Fund matrix will be subjected to payment. (Ex. Add/collects, memberships, upgrades,  Economy Plus access, airline tickets, travel vouchers, and penalties incurred for refunding a ticket.)  </w:t>
                            </w:r>
                          </w:p>
                          <w:p w:rsidR="00AB6331" w:rsidRPr="005E2E12" w:rsidRDefault="00AB6331">
                            <w:pPr>
                              <w:pStyle w:val="BodyText"/>
                              <w:spacing w:before="36"/>
                              <w:ind w:left="73" w:right="146"/>
                              <w:rPr>
                                <w:sz w:val="14"/>
                                <w:szCs w:val="14"/>
                              </w:rPr>
                            </w:pPr>
                            <w:r w:rsidRPr="005E2E12">
                              <w:rPr>
                                <w:sz w:val="14"/>
                                <w:szCs w:val="14"/>
                              </w:rPr>
                              <w:t>All Services Fund services are subject to the following  1. Allowed on 205tickets</w:t>
                            </w:r>
                            <w:r>
                              <w:rPr>
                                <w:sz w:val="14"/>
                                <w:szCs w:val="14"/>
                              </w:rPr>
                              <w:t xml:space="preserve"> issued in Vietnam for JV itineraty</w:t>
                            </w:r>
                            <w:r w:rsidRPr="005E2E12">
                              <w:rPr>
                                <w:sz w:val="14"/>
                                <w:szCs w:val="14"/>
                              </w:rPr>
                              <w:t xml:space="preserve"> only.   2. JV partners (UA) are allowed on itinerary and ticket on select waivers/favors (see below). Must be on through fares; No broken or point to point fares. 3. Fixed fares, ASW tickets or tickets issued by ANA counter are not eligible for Services Fund redemption, except where noted in the "Additional Requirements".</w:t>
                            </w:r>
                          </w:p>
                          <w:p w:rsidR="00AB6331" w:rsidRPr="005E2E12" w:rsidRDefault="00AB6331">
                            <w:pPr>
                              <w:pStyle w:val="BodyText"/>
                              <w:spacing w:before="36"/>
                              <w:ind w:left="73" w:right="146"/>
                              <w:rPr>
                                <w:sz w:val="16"/>
                                <w:szCs w:val="16"/>
                              </w:rPr>
                            </w:pPr>
                            <w:r w:rsidRPr="005E2E12">
                              <w:rPr>
                                <w:sz w:val="14"/>
                                <w:szCs w:val="14"/>
                              </w:rPr>
                              <w:t>Services Fund Program subject to change</w:t>
                            </w:r>
                            <w:r w:rsidRPr="005E2E12">
                              <w:rPr>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54.9pt;margin-top:8.9pt;width:1081.3pt;height:43.9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" filled="f" strokecolor="#bbb" strokeweight=".14289mm">
                <v:textbox inset="0,0,0,0">
                  <w:txbxContent>
                    <w:p w:rsidR="00AB6331" w:rsidRPr="005E2E12" w:rsidRDefault="00AB6331">
                      <w:pPr>
                        <w:pStyle w:val="BodyText"/>
                        <w:spacing w:before="36"/>
                        <w:ind w:left="73" w:right="146"/>
                        <w:rPr>
                          <w:sz w:val="14"/>
                          <w:szCs w:val="14"/>
                        </w:rPr>
                      </w:pPr>
                      <w:r w:rsidRPr="005E2E12">
                        <w:rPr>
                          <w:sz w:val="14"/>
                          <w:szCs w:val="14"/>
                        </w:rPr>
                        <w:t xml:space="preserve">All other fees, services, and products not in the Services Fund matrix will be subjected to payment. (Ex. Add/collects, memberships, upgrades,  Economy Plus access, airline tickets, travel vouchers, and penalties incurred for refunding a ticket.)  </w:t>
                      </w:r>
                    </w:p>
                    <w:p w:rsidR="00AB6331" w:rsidRPr="005E2E12" w:rsidRDefault="00AB6331">
                      <w:pPr>
                        <w:pStyle w:val="BodyText"/>
                        <w:spacing w:before="36"/>
                        <w:ind w:left="73" w:right="146"/>
                        <w:rPr>
                          <w:sz w:val="14"/>
                          <w:szCs w:val="14"/>
                        </w:rPr>
                      </w:pPr>
                      <w:r w:rsidRPr="005E2E12">
                        <w:rPr>
                          <w:sz w:val="14"/>
                          <w:szCs w:val="14"/>
                        </w:rPr>
                        <w:t>All Services Fund services are subject to the following  1. Allowed on 205tickets</w:t>
                      </w:r>
                      <w:r>
                        <w:rPr>
                          <w:sz w:val="14"/>
                          <w:szCs w:val="14"/>
                        </w:rPr>
                        <w:t xml:space="preserve"> issued in Vietnam for JV itineraty</w:t>
                      </w:r>
                      <w:r w:rsidRPr="005E2E12">
                        <w:rPr>
                          <w:sz w:val="14"/>
                          <w:szCs w:val="14"/>
                        </w:rPr>
                        <w:t xml:space="preserve"> only.   2. JV partners (UA) are allowed on itinerary and ticket on select waivers/favors (see below). Must be on through fares; No broken or point to point fares. 3. Fixed fares, ASW tickets or tickets issued by ANA counter are not eligible for Services Fund redemption, except where noted in the "Additional Requirements".</w:t>
                      </w:r>
                    </w:p>
                    <w:p w:rsidR="00AB6331" w:rsidRPr="005E2E12" w:rsidRDefault="00AB6331">
                      <w:pPr>
                        <w:pStyle w:val="BodyText"/>
                        <w:spacing w:before="36"/>
                        <w:ind w:left="73" w:right="146"/>
                        <w:rPr>
                          <w:sz w:val="16"/>
                          <w:szCs w:val="16"/>
                        </w:rPr>
                      </w:pPr>
                      <w:r w:rsidRPr="005E2E12">
                        <w:rPr>
                          <w:sz w:val="14"/>
                          <w:szCs w:val="14"/>
                        </w:rPr>
                        <w:t>Services Fund Program subject to change</w:t>
                      </w:r>
                      <w:r w:rsidRPr="005E2E12">
                        <w:rPr>
                          <w:sz w:val="16"/>
                          <w:szCs w:val="16"/>
                        </w:rPr>
                        <w:t>.</w:t>
                      </w:r>
                    </w:p>
                  </w:txbxContent>
                </v:textbox>
                <w10:wrap type="topAndBottom" anchorx="page"/>
              </v:shape>
            </w:pict>
          </mc:Fallback>
        </mc:AlternateContent>
      </w:r>
    </w:p>
    <w:sectPr w:rsidR="00022931" w:rsidSect="00022931">
      <w:pgSz w:w="23820" w:h="16840" w:orient="landscape"/>
      <w:pgMar w:top="106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A2F19"/>
    <w:multiLevelType w:val="hybridMultilevel"/>
    <w:tmpl w:val="36B879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716B66"/>
    <w:multiLevelType w:val="hybridMultilevel"/>
    <w:tmpl w:val="D5C6B7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31"/>
    <w:rsid w:val="00022931"/>
    <w:rsid w:val="0010736C"/>
    <w:rsid w:val="001F6E73"/>
    <w:rsid w:val="00283C65"/>
    <w:rsid w:val="002C2053"/>
    <w:rsid w:val="00346541"/>
    <w:rsid w:val="003613F0"/>
    <w:rsid w:val="004143F9"/>
    <w:rsid w:val="00432542"/>
    <w:rsid w:val="00497A8B"/>
    <w:rsid w:val="004C1CD5"/>
    <w:rsid w:val="004C4B0E"/>
    <w:rsid w:val="004D0DCE"/>
    <w:rsid w:val="004F0223"/>
    <w:rsid w:val="005A7D14"/>
    <w:rsid w:val="005C57D9"/>
    <w:rsid w:val="005E2E12"/>
    <w:rsid w:val="005F16A0"/>
    <w:rsid w:val="00605F8F"/>
    <w:rsid w:val="00662942"/>
    <w:rsid w:val="00713CB1"/>
    <w:rsid w:val="007E3BAF"/>
    <w:rsid w:val="00855582"/>
    <w:rsid w:val="008F7F40"/>
    <w:rsid w:val="00973DC4"/>
    <w:rsid w:val="009C679B"/>
    <w:rsid w:val="00AB6331"/>
    <w:rsid w:val="00BD2F75"/>
    <w:rsid w:val="00C43D6F"/>
    <w:rsid w:val="00C516D6"/>
    <w:rsid w:val="00CC00F8"/>
    <w:rsid w:val="00CC3003"/>
    <w:rsid w:val="00E2321C"/>
    <w:rsid w:val="00E90652"/>
    <w:rsid w:val="00EB7933"/>
    <w:rsid w:val="00F61C87"/>
    <w:rsid w:val="00F66C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DB5CB-4B68-49C5-A0E0-040962A9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22931"/>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22931"/>
    <w:rPr>
      <w:sz w:val="13"/>
      <w:szCs w:val="13"/>
    </w:rPr>
  </w:style>
  <w:style w:type="paragraph" w:styleId="ListParagraph">
    <w:name w:val="List Paragraph"/>
    <w:basedOn w:val="Normal"/>
    <w:uiPriority w:val="1"/>
    <w:qFormat/>
    <w:rsid w:val="00022931"/>
  </w:style>
  <w:style w:type="paragraph" w:customStyle="1" w:styleId="TableParagraph">
    <w:name w:val="Table Paragraph"/>
    <w:basedOn w:val="Normal"/>
    <w:uiPriority w:val="1"/>
    <w:qFormat/>
    <w:rsid w:val="00022931"/>
  </w:style>
  <w:style w:type="paragraph" w:styleId="BalloonText">
    <w:name w:val="Balloon Text"/>
    <w:basedOn w:val="Normal"/>
    <w:link w:val="BalloonTextChar"/>
    <w:uiPriority w:val="99"/>
    <w:semiHidden/>
    <w:unhideWhenUsed/>
    <w:rsid w:val="00F61C87"/>
    <w:rPr>
      <w:rFonts w:ascii="Tahoma" w:hAnsi="Tahoma" w:cs="Tahoma"/>
      <w:sz w:val="16"/>
      <w:szCs w:val="16"/>
    </w:rPr>
  </w:style>
  <w:style w:type="character" w:customStyle="1" w:styleId="BalloonTextChar">
    <w:name w:val="Balloon Text Char"/>
    <w:basedOn w:val="DefaultParagraphFont"/>
    <w:link w:val="BalloonText"/>
    <w:uiPriority w:val="99"/>
    <w:semiHidden/>
    <w:rsid w:val="00F61C87"/>
    <w:rPr>
      <w:rFonts w:ascii="Tahoma" w:eastAsia="Arial" w:hAnsi="Tahoma" w:cs="Tahoma"/>
      <w:sz w:val="16"/>
      <w:szCs w:val="16"/>
    </w:rPr>
  </w:style>
  <w:style w:type="table" w:styleId="TableGrid">
    <w:name w:val="Table Grid"/>
    <w:basedOn w:val="TableNormal"/>
    <w:uiPriority w:val="59"/>
    <w:rsid w:val="005C5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62942"/>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TCHC01</cp:lastModifiedBy>
  <cp:revision>2</cp:revision>
  <dcterms:created xsi:type="dcterms:W3CDTF">2020-10-01T01:52:00Z</dcterms:created>
  <dcterms:modified xsi:type="dcterms:W3CDTF">2020-10-01T01:52:00Z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2016-09-13T00:00:00Z</vt:filetime>
  </property>
  <property fmtid="{D5CDD505-2E9C-101B-9397-08002B2CF9AE}" pid="3" name="Creator">
    <vt:lpwstr>Microsoft® Excel® 2013</vt:lpwstr>
  </property>
  <property fmtid="{D5CDD505-2E9C-101B-9397-08002B2CF9AE}" pid="4" name="LastSaved">
    <vt:filetime>2017-11-24T00:00:00Z</vt:filetime>
  </property>
</Properties>
</file>